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41721" w14:textId="77777777" w:rsidR="00FF6BD2" w:rsidRDefault="002E03F7" w:rsidP="001D7114">
      <w:pPr>
        <w:jc w:val="center"/>
        <w:rPr>
          <w:rFonts w:ascii="Book Antiqua" w:hAnsi="Book Antiqua"/>
          <w:sz w:val="28"/>
          <w:lang w:val="es-ES_tradnl"/>
        </w:rPr>
      </w:pPr>
      <w:r>
        <w:rPr>
          <w:rFonts w:ascii="Book Antiqua" w:hAnsi="Book Antiqua"/>
          <w:sz w:val="28"/>
          <w:lang w:val="es-ES_tradnl"/>
        </w:rPr>
        <w:t>GOBIERNO DE PUERTO RICO</w:t>
      </w:r>
    </w:p>
    <w:p w14:paraId="2EC82FF8" w14:textId="77777777" w:rsidR="002E03F7" w:rsidRPr="001D7114" w:rsidRDefault="002E03F7" w:rsidP="001D7114">
      <w:pPr>
        <w:jc w:val="center"/>
        <w:rPr>
          <w:rFonts w:ascii="Book Antiqua" w:hAnsi="Book Antiqua"/>
          <w:lang w:val="es-ES_tradnl"/>
        </w:rPr>
      </w:pPr>
    </w:p>
    <w:p w14:paraId="50E514E9" w14:textId="77777777" w:rsidR="002E03F7" w:rsidRDefault="002E03F7" w:rsidP="001D7114">
      <w:pPr>
        <w:pStyle w:val="Title2"/>
        <w:tabs>
          <w:tab w:val="clear" w:pos="7776"/>
          <w:tab w:val="clear" w:pos="7848"/>
          <w:tab w:val="left" w:pos="7740"/>
        </w:tabs>
        <w:rPr>
          <w:rFonts w:ascii="Book Antiqua" w:hAnsi="Book Antiqua"/>
          <w:lang w:val="es-ES_tradnl"/>
        </w:rPr>
      </w:pPr>
      <w:r>
        <w:rPr>
          <w:rFonts w:ascii="Book Antiqua" w:hAnsi="Book Antiqua"/>
          <w:lang w:val="es-ES_tradnl"/>
        </w:rPr>
        <w:t>18</w:t>
      </w:r>
      <w:r w:rsidR="001D7114">
        <w:rPr>
          <w:rFonts w:ascii="Book Antiqua" w:hAnsi="Book Antiqua"/>
          <w:lang w:val="es-ES_tradnl"/>
        </w:rPr>
        <w:t xml:space="preserve">va. </w:t>
      </w:r>
      <w:r>
        <w:rPr>
          <w:rFonts w:ascii="Book Antiqua" w:hAnsi="Book Antiqua"/>
          <w:lang w:val="es-ES_tradnl"/>
        </w:rPr>
        <w:t>Asamblea</w:t>
      </w:r>
      <w:r>
        <w:rPr>
          <w:rFonts w:ascii="Book Antiqua" w:hAnsi="Book Antiqua"/>
          <w:lang w:val="es-ES_tradnl"/>
        </w:rPr>
        <w:tab/>
        <w:t>7</w:t>
      </w:r>
      <w:r w:rsidR="001D7114">
        <w:rPr>
          <w:rFonts w:ascii="Book Antiqua" w:hAnsi="Book Antiqua"/>
          <w:lang w:val="es-ES_tradnl"/>
        </w:rPr>
        <w:t xml:space="preserve">ma. </w:t>
      </w:r>
      <w:r>
        <w:rPr>
          <w:rFonts w:ascii="Book Antiqua" w:hAnsi="Book Antiqua"/>
          <w:lang w:val="es-ES_tradnl"/>
        </w:rPr>
        <w:t>Sesión</w:t>
      </w:r>
    </w:p>
    <w:p w14:paraId="7F6003FC" w14:textId="77777777" w:rsidR="002E03F7" w:rsidRDefault="002E03F7" w:rsidP="001D7114">
      <w:pPr>
        <w:pStyle w:val="Title2"/>
        <w:tabs>
          <w:tab w:val="clear" w:pos="7776"/>
        </w:tab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r>
      <w:r w:rsidR="001D7114">
        <w:rPr>
          <w:rFonts w:ascii="Book Antiqua" w:hAnsi="Book Antiqua"/>
          <w:lang w:val="es-ES_tradnl"/>
        </w:rPr>
        <w:t xml:space="preserve">      </w:t>
      </w:r>
      <w:r>
        <w:rPr>
          <w:rFonts w:ascii="Book Antiqua" w:hAnsi="Book Antiqua"/>
          <w:lang w:val="es-ES_tradnl"/>
        </w:rPr>
        <w:t>Ordinaria</w:t>
      </w:r>
    </w:p>
    <w:p w14:paraId="2185D67B" w14:textId="77777777" w:rsidR="002E03F7" w:rsidRDefault="002E03F7" w:rsidP="001D7114">
      <w:pPr>
        <w:rPr>
          <w:lang w:val="es-ES_tradnl"/>
        </w:rPr>
      </w:pPr>
    </w:p>
    <w:p w14:paraId="2681F0F2" w14:textId="77777777" w:rsidR="002E03F7" w:rsidRDefault="002E03F7" w:rsidP="001D7114">
      <w:pPr>
        <w:jc w:val="center"/>
        <w:rPr>
          <w:rFonts w:ascii="Book Antiqua" w:hAnsi="Book Antiqua"/>
          <w:b/>
          <w:sz w:val="36"/>
          <w:lang w:val="es-ES_tradnl"/>
        </w:rPr>
      </w:pPr>
      <w:r>
        <w:rPr>
          <w:rFonts w:ascii="Book Antiqua" w:hAnsi="Book Antiqua"/>
          <w:b/>
          <w:sz w:val="36"/>
          <w:lang w:val="es-ES_tradnl"/>
        </w:rPr>
        <w:t>CÁMARA DE REPRESENTANTES</w:t>
      </w:r>
    </w:p>
    <w:p w14:paraId="62053998" w14:textId="77777777" w:rsidR="002E03F7" w:rsidRPr="001D7114" w:rsidRDefault="002E03F7" w:rsidP="001D7114">
      <w:pPr>
        <w:jc w:val="center"/>
        <w:rPr>
          <w:rFonts w:ascii="Book Antiqua" w:hAnsi="Book Antiqua"/>
          <w:b/>
          <w:szCs w:val="24"/>
          <w:lang w:val="es-ES_tradnl"/>
        </w:rPr>
      </w:pPr>
    </w:p>
    <w:p w14:paraId="7D7F7992" w14:textId="5ED05C3C" w:rsidR="002E03F7" w:rsidRDefault="002E03F7" w:rsidP="001D7114">
      <w:pPr>
        <w:jc w:val="center"/>
        <w:rPr>
          <w:rFonts w:ascii="Book Antiqua" w:hAnsi="Book Antiqua"/>
          <w:b/>
          <w:sz w:val="52"/>
          <w:lang w:val="es-ES_tradnl"/>
        </w:rPr>
      </w:pPr>
      <w:r>
        <w:rPr>
          <w:rFonts w:ascii="Book Antiqua" w:hAnsi="Book Antiqua"/>
          <w:b/>
          <w:sz w:val="52"/>
          <w:lang w:val="es-ES_tradnl"/>
        </w:rPr>
        <w:t xml:space="preserve">R. C. de la C. </w:t>
      </w:r>
      <w:r w:rsidR="00875417">
        <w:rPr>
          <w:rFonts w:ascii="Book Antiqua" w:hAnsi="Book Antiqua"/>
          <w:b/>
          <w:sz w:val="52"/>
          <w:lang w:val="es-ES_tradnl"/>
        </w:rPr>
        <w:t>740</w:t>
      </w:r>
    </w:p>
    <w:p w14:paraId="1E67D1D3" w14:textId="77777777" w:rsidR="001D7114" w:rsidRPr="001D7114" w:rsidRDefault="001D7114" w:rsidP="001D7114">
      <w:pPr>
        <w:jc w:val="center"/>
        <w:rPr>
          <w:rFonts w:ascii="Book Antiqua" w:hAnsi="Book Antiqua"/>
          <w:b/>
          <w:sz w:val="28"/>
          <w:szCs w:val="28"/>
          <w:lang w:val="es-ES_tradnl"/>
        </w:rPr>
      </w:pPr>
    </w:p>
    <w:p w14:paraId="0FE941D4" w14:textId="44878708" w:rsidR="002E03F7" w:rsidRDefault="00B92EF9" w:rsidP="001D7114">
      <w:pPr>
        <w:jc w:val="center"/>
        <w:rPr>
          <w:rFonts w:ascii="Book Antiqua" w:hAnsi="Book Antiqua"/>
          <w:lang w:val="es-ES_tradnl"/>
        </w:rPr>
      </w:pPr>
      <w:r>
        <w:rPr>
          <w:rFonts w:ascii="Book Antiqua" w:hAnsi="Book Antiqua"/>
          <w:lang w:val="es-ES_tradnl"/>
        </w:rPr>
        <w:t>17</w:t>
      </w:r>
      <w:r w:rsidR="00017CF4">
        <w:rPr>
          <w:rFonts w:ascii="Book Antiqua" w:hAnsi="Book Antiqua"/>
          <w:lang w:val="es-ES_tradnl"/>
        </w:rPr>
        <w:t xml:space="preserve"> </w:t>
      </w:r>
      <w:r w:rsidR="002E03F7">
        <w:rPr>
          <w:rFonts w:ascii="Book Antiqua" w:hAnsi="Book Antiqua"/>
          <w:lang w:val="es-ES_tradnl"/>
        </w:rPr>
        <w:t xml:space="preserve">DE </w:t>
      </w:r>
      <w:r w:rsidR="00FF5FB8">
        <w:rPr>
          <w:rFonts w:ascii="Book Antiqua" w:hAnsi="Book Antiqua"/>
          <w:lang w:val="es-ES_tradnl"/>
        </w:rPr>
        <w:t>JUNIO</w:t>
      </w:r>
      <w:r w:rsidR="002E03F7">
        <w:rPr>
          <w:rFonts w:ascii="Book Antiqua" w:hAnsi="Book Antiqua"/>
          <w:lang w:val="es-ES_tradnl"/>
        </w:rPr>
        <w:t xml:space="preserve"> DE 2020</w:t>
      </w:r>
    </w:p>
    <w:p w14:paraId="028F2202" w14:textId="77777777" w:rsidR="001D7114" w:rsidRDefault="001D7114" w:rsidP="001D7114">
      <w:pPr>
        <w:jc w:val="center"/>
        <w:rPr>
          <w:rFonts w:ascii="Book Antiqua" w:hAnsi="Book Antiqua"/>
          <w:lang w:val="es-ES_tradnl"/>
        </w:rPr>
      </w:pPr>
    </w:p>
    <w:p w14:paraId="48185ED9" w14:textId="78912A17" w:rsidR="002E03F7" w:rsidRPr="00D50A38" w:rsidRDefault="002E03F7" w:rsidP="001D7114">
      <w:pPr>
        <w:jc w:val="center"/>
        <w:rPr>
          <w:rFonts w:ascii="Book Antiqua" w:hAnsi="Book Antiqua"/>
          <w:i/>
          <w:lang w:val="es-ES_tradnl"/>
        </w:rPr>
      </w:pPr>
      <w:r>
        <w:rPr>
          <w:rFonts w:ascii="Book Antiqua" w:hAnsi="Book Antiqua"/>
          <w:lang w:val="es-ES_tradnl"/>
        </w:rPr>
        <w:t xml:space="preserve">Presentada por </w:t>
      </w:r>
      <w:r w:rsidR="00B33A67">
        <w:rPr>
          <w:rFonts w:ascii="Book Antiqua" w:hAnsi="Book Antiqua"/>
          <w:lang w:val="es-ES_tradnl"/>
        </w:rPr>
        <w:t>el</w:t>
      </w:r>
      <w:r>
        <w:rPr>
          <w:rFonts w:ascii="Book Antiqua" w:hAnsi="Book Antiqua"/>
          <w:lang w:val="es-ES_tradnl"/>
        </w:rPr>
        <w:t xml:space="preserve"> representante</w:t>
      </w:r>
      <w:r w:rsidR="00B92EF9">
        <w:rPr>
          <w:rFonts w:ascii="Book Antiqua" w:hAnsi="Book Antiqua"/>
          <w:lang w:val="es-ES_tradnl"/>
        </w:rPr>
        <w:t xml:space="preserve"> </w:t>
      </w:r>
      <w:r w:rsidR="00B92EF9" w:rsidRPr="00D50A38">
        <w:rPr>
          <w:rFonts w:ascii="Book Antiqua" w:hAnsi="Book Antiqua"/>
          <w:i/>
          <w:lang w:val="es-ES_tradnl"/>
        </w:rPr>
        <w:t>Alonso Vega</w:t>
      </w:r>
      <w:r w:rsidR="00B33A67" w:rsidRPr="00D50A38">
        <w:rPr>
          <w:rFonts w:ascii="Book Antiqua" w:hAnsi="Book Antiqua"/>
          <w:i/>
          <w:lang w:val="es-ES_tradnl"/>
        </w:rPr>
        <w:t xml:space="preserve"> </w:t>
      </w:r>
      <w:r w:rsidRPr="00D50A38">
        <w:rPr>
          <w:rFonts w:ascii="Book Antiqua" w:hAnsi="Book Antiqua"/>
          <w:i/>
          <w:lang w:val="es-ES_tradnl"/>
        </w:rPr>
        <w:t xml:space="preserve"> </w:t>
      </w:r>
    </w:p>
    <w:p w14:paraId="69FB868B" w14:textId="77777777" w:rsidR="001D7114" w:rsidRDefault="001D7114" w:rsidP="001D7114">
      <w:pPr>
        <w:jc w:val="center"/>
        <w:rPr>
          <w:rFonts w:ascii="Book Antiqua" w:hAnsi="Book Antiqua"/>
          <w:lang w:val="es-ES_tradnl"/>
        </w:rPr>
      </w:pPr>
    </w:p>
    <w:p w14:paraId="71657FEC" w14:textId="7629D43B" w:rsidR="002E03F7" w:rsidRDefault="002E03F7" w:rsidP="001D7114">
      <w:pPr>
        <w:jc w:val="center"/>
        <w:rPr>
          <w:rFonts w:ascii="Book Antiqua" w:hAnsi="Book Antiqua"/>
          <w:lang w:val="es-ES_tradnl"/>
        </w:rPr>
      </w:pPr>
      <w:r>
        <w:rPr>
          <w:rFonts w:ascii="Book Antiqua" w:hAnsi="Book Antiqua"/>
          <w:lang w:val="es-ES_tradnl"/>
        </w:rPr>
        <w:t xml:space="preserve">Referida a </w:t>
      </w:r>
      <w:r w:rsidR="00D50A38">
        <w:rPr>
          <w:rFonts w:ascii="Book Antiqua" w:hAnsi="Book Antiqua"/>
          <w:lang w:val="es-ES_tradnl"/>
        </w:rPr>
        <w:t>la</w:t>
      </w:r>
      <w:r w:rsidR="00AB077A">
        <w:rPr>
          <w:rFonts w:ascii="Book Antiqua" w:hAnsi="Book Antiqua"/>
          <w:lang w:val="es-ES_tradnl"/>
        </w:rPr>
        <w:t>s Comisio</w:t>
      </w:r>
      <w:r w:rsidR="00D50A38">
        <w:rPr>
          <w:rFonts w:ascii="Book Antiqua" w:hAnsi="Book Antiqua"/>
          <w:lang w:val="es-ES_tradnl"/>
        </w:rPr>
        <w:t>n</w:t>
      </w:r>
      <w:r w:rsidR="00AB077A">
        <w:rPr>
          <w:rFonts w:ascii="Book Antiqua" w:hAnsi="Book Antiqua"/>
          <w:lang w:val="es-ES_tradnl"/>
        </w:rPr>
        <w:t>es</w:t>
      </w:r>
      <w:r w:rsidR="00D50A38">
        <w:rPr>
          <w:rFonts w:ascii="Book Antiqua" w:hAnsi="Book Antiqua"/>
          <w:lang w:val="es-ES_tradnl"/>
        </w:rPr>
        <w:t xml:space="preserve"> de</w:t>
      </w:r>
      <w:r w:rsidR="00AB077A">
        <w:rPr>
          <w:rFonts w:ascii="Book Antiqua" w:hAnsi="Book Antiqua"/>
          <w:lang w:val="es-ES_tradnl"/>
        </w:rPr>
        <w:t xml:space="preserve"> </w:t>
      </w:r>
      <w:r w:rsidR="00AB077A">
        <w:rPr>
          <w:rFonts w:ascii="Book Antiqua" w:hAnsi="Book Antiqua"/>
          <w:szCs w:val="24"/>
          <w:lang w:val="es-ES_tradnl"/>
        </w:rPr>
        <w:t>Hacienda, Presupuesto y de la Supervisión, Administración y Estabilidad Económica de Puerto Rico “PROMESA”; y de Turismo y Bienestar Social</w:t>
      </w:r>
    </w:p>
    <w:p w14:paraId="5DE9837C" w14:textId="77777777" w:rsidR="002E03F7" w:rsidRDefault="002E03F7" w:rsidP="001D7114">
      <w:pPr>
        <w:jc w:val="both"/>
        <w:rPr>
          <w:rFonts w:ascii="Book Antiqua" w:hAnsi="Book Antiqua"/>
          <w:lang w:val="es-ES_tradnl"/>
        </w:rPr>
      </w:pPr>
    </w:p>
    <w:p w14:paraId="62660489" w14:textId="77777777" w:rsidR="002E03F7" w:rsidRDefault="002E03F7" w:rsidP="001D7114">
      <w:pPr>
        <w:jc w:val="center"/>
        <w:rPr>
          <w:rFonts w:ascii="Book Antiqua" w:hAnsi="Book Antiqua"/>
          <w:b/>
          <w:sz w:val="28"/>
          <w:lang w:val="es-ES_tradnl"/>
        </w:rPr>
      </w:pPr>
      <w:r>
        <w:rPr>
          <w:rFonts w:ascii="Book Antiqua" w:hAnsi="Book Antiqua"/>
          <w:b/>
          <w:sz w:val="28"/>
          <w:lang w:val="es-ES_tradnl"/>
        </w:rPr>
        <w:t>RESOLUCIÓN CONJUNTA</w:t>
      </w:r>
    </w:p>
    <w:p w14:paraId="7EC8E976" w14:textId="77777777" w:rsidR="002E03F7" w:rsidRDefault="002E03F7" w:rsidP="001D7114">
      <w:pPr>
        <w:jc w:val="both"/>
        <w:rPr>
          <w:rFonts w:ascii="Book Antiqua" w:hAnsi="Book Antiqua"/>
          <w:lang w:val="es-ES_tradnl"/>
        </w:rPr>
      </w:pPr>
    </w:p>
    <w:p w14:paraId="7CB15112" w14:textId="242E15C3" w:rsidR="002E03F7" w:rsidRPr="001D7114" w:rsidRDefault="002E03F7" w:rsidP="001D7114">
      <w:pPr>
        <w:ind w:left="709" w:hanging="709"/>
        <w:jc w:val="both"/>
        <w:rPr>
          <w:rFonts w:ascii="Book Antiqua" w:hAnsi="Book Antiqua"/>
          <w:spacing w:val="-3"/>
          <w:szCs w:val="24"/>
          <w:lang w:val="es-PR"/>
        </w:rPr>
      </w:pPr>
      <w:r>
        <w:rPr>
          <w:rFonts w:ascii="Book Antiqua" w:hAnsi="Book Antiqua"/>
          <w:lang w:val="es-ES_tradnl"/>
        </w:rPr>
        <w:t xml:space="preserve">Para ordenar al Departamento de </w:t>
      </w:r>
      <w:r w:rsidR="00B33A67">
        <w:rPr>
          <w:rFonts w:ascii="Book Antiqua" w:hAnsi="Book Antiqua"/>
          <w:lang w:val="es-ES_tradnl"/>
        </w:rPr>
        <w:t>Hacienda a</w:t>
      </w:r>
      <w:r>
        <w:rPr>
          <w:rFonts w:ascii="Book Antiqua" w:hAnsi="Book Antiqua"/>
          <w:lang w:val="es-ES_tradnl"/>
        </w:rPr>
        <w:t xml:space="preserve"> que </w:t>
      </w:r>
      <w:r w:rsidR="00B33A67">
        <w:rPr>
          <w:rFonts w:ascii="Book Antiqua" w:hAnsi="Book Antiqua"/>
          <w:lang w:val="es-ES_tradnl"/>
        </w:rPr>
        <w:t xml:space="preserve">apruebe </w:t>
      </w:r>
      <w:r w:rsidR="00A54C1A">
        <w:rPr>
          <w:rFonts w:ascii="Book Antiqua" w:hAnsi="Book Antiqua"/>
          <w:lang w:val="es-ES_tradnl"/>
        </w:rPr>
        <w:t xml:space="preserve">en un periodo no mayor de </w:t>
      </w:r>
      <w:r w:rsidR="00291393">
        <w:rPr>
          <w:rFonts w:ascii="Book Antiqua" w:hAnsi="Book Antiqua"/>
          <w:lang w:val="es-ES_tradnl"/>
        </w:rPr>
        <w:t>veinte</w:t>
      </w:r>
      <w:r w:rsidR="00A54C1A">
        <w:rPr>
          <w:rFonts w:ascii="Book Antiqua" w:hAnsi="Book Antiqua"/>
          <w:lang w:val="es-ES_tradnl"/>
        </w:rPr>
        <w:t xml:space="preserve"> (</w:t>
      </w:r>
      <w:r w:rsidR="00291393">
        <w:rPr>
          <w:rFonts w:ascii="Book Antiqua" w:hAnsi="Book Antiqua"/>
          <w:lang w:val="es-ES_tradnl"/>
        </w:rPr>
        <w:t>2</w:t>
      </w:r>
      <w:r w:rsidR="00A54C1A">
        <w:rPr>
          <w:rFonts w:ascii="Book Antiqua" w:hAnsi="Book Antiqua"/>
          <w:lang w:val="es-ES_tradnl"/>
        </w:rPr>
        <w:t xml:space="preserve">0) días contados a partir </w:t>
      </w:r>
      <w:r w:rsidR="00EB4DDA">
        <w:rPr>
          <w:rFonts w:ascii="Book Antiqua" w:hAnsi="Book Antiqua"/>
          <w:lang w:val="es-ES_tradnl"/>
        </w:rPr>
        <w:t xml:space="preserve">de </w:t>
      </w:r>
      <w:r w:rsidR="00A54C1A">
        <w:rPr>
          <w:rFonts w:ascii="Book Antiqua" w:hAnsi="Book Antiqua"/>
          <w:lang w:val="es-ES_tradnl"/>
        </w:rPr>
        <w:t xml:space="preserve">la vigencia de la presente Resolución Conjunta, </w:t>
      </w:r>
      <w:bookmarkStart w:id="0" w:name="_Hlk39941114"/>
      <w:r w:rsidR="00B33A67">
        <w:rPr>
          <w:rFonts w:ascii="Book Antiqua" w:hAnsi="Book Antiqua"/>
          <w:lang w:val="es-ES_tradnl"/>
        </w:rPr>
        <w:t xml:space="preserve">las solicitudes de Concesión de Exención Contributiva y </w:t>
      </w:r>
      <w:r w:rsidR="00A54C1A">
        <w:rPr>
          <w:rFonts w:ascii="Book Antiqua" w:hAnsi="Book Antiqua"/>
          <w:lang w:val="es-ES_tradnl"/>
        </w:rPr>
        <w:t>Créditos</w:t>
      </w:r>
      <w:r w:rsidR="00B33A67">
        <w:rPr>
          <w:rFonts w:ascii="Book Antiqua" w:hAnsi="Book Antiqua"/>
          <w:lang w:val="es-ES_tradnl"/>
        </w:rPr>
        <w:t xml:space="preserve"> Contributivos </w:t>
      </w:r>
      <w:r w:rsidR="00116750">
        <w:rPr>
          <w:rFonts w:ascii="Book Antiqua" w:hAnsi="Book Antiqua"/>
          <w:lang w:val="es-ES_tradnl"/>
        </w:rPr>
        <w:t>de</w:t>
      </w:r>
      <w:r w:rsidR="00B33A67">
        <w:rPr>
          <w:rFonts w:ascii="Book Antiqua" w:hAnsi="Book Antiqua"/>
          <w:lang w:val="es-ES_tradnl"/>
        </w:rPr>
        <w:t xml:space="preserve"> toda entidad que haya radicado su solicitud de beneficios bajo la Ley 74-2010</w:t>
      </w:r>
      <w:r w:rsidR="00EF73BE">
        <w:rPr>
          <w:rFonts w:ascii="Book Antiqua" w:hAnsi="Book Antiqua"/>
          <w:lang w:val="es-ES_tradnl"/>
        </w:rPr>
        <w:t xml:space="preserve"> según enmendada,</w:t>
      </w:r>
      <w:r w:rsidR="00B33A67">
        <w:rPr>
          <w:rFonts w:ascii="Book Antiqua" w:hAnsi="Book Antiqua"/>
          <w:lang w:val="es-ES_tradnl"/>
        </w:rPr>
        <w:t xml:space="preserve"> </w:t>
      </w:r>
      <w:r w:rsidR="00EF73BE">
        <w:rPr>
          <w:rFonts w:ascii="Book Antiqua" w:hAnsi="Book Antiqua"/>
          <w:lang w:val="es-ES_tradnl"/>
        </w:rPr>
        <w:t>ante el Departamento de Hacienda y la Compañía de Turismo de Puerto Rico</w:t>
      </w:r>
      <w:r w:rsidR="00B33A67">
        <w:rPr>
          <w:rFonts w:ascii="Book Antiqua" w:hAnsi="Book Antiqua"/>
          <w:lang w:val="es-ES_tradnl"/>
        </w:rPr>
        <w:t xml:space="preserve">, </w:t>
      </w:r>
      <w:r w:rsidR="00A54C1A">
        <w:rPr>
          <w:rFonts w:ascii="Book Antiqua" w:hAnsi="Book Antiqua"/>
          <w:lang w:val="es-ES_tradnl"/>
        </w:rPr>
        <w:t>siempre y cuando la entidad solicitante haya sometido todos los documentos requeridos y est</w:t>
      </w:r>
      <w:r w:rsidR="00291393">
        <w:rPr>
          <w:rFonts w:ascii="Book Antiqua" w:hAnsi="Book Antiqua"/>
          <w:lang w:val="es-ES_tradnl"/>
        </w:rPr>
        <w:t>é</w:t>
      </w:r>
      <w:r w:rsidR="00A54C1A">
        <w:rPr>
          <w:rFonts w:ascii="Book Antiqua" w:hAnsi="Book Antiqua"/>
          <w:lang w:val="es-ES_tradnl"/>
        </w:rPr>
        <w:t xml:space="preserve"> en cumplimiento con el reglamento establecido bajo dicha Ley</w:t>
      </w:r>
      <w:bookmarkEnd w:id="0"/>
      <w:r w:rsidR="00A54C1A">
        <w:rPr>
          <w:rFonts w:ascii="Book Antiqua" w:hAnsi="Book Antiqua"/>
          <w:lang w:val="es-ES_tradnl"/>
        </w:rPr>
        <w:t>; Ordenar a la Compa</w:t>
      </w:r>
      <w:bookmarkStart w:id="1" w:name="_Hlk39946886"/>
      <w:r w:rsidR="00A54C1A">
        <w:rPr>
          <w:rFonts w:ascii="Book Antiqua" w:hAnsi="Book Antiqua"/>
          <w:lang w:val="es-ES_tradnl"/>
        </w:rPr>
        <w:t>ñ</w:t>
      </w:r>
      <w:bookmarkEnd w:id="1"/>
      <w:r w:rsidR="00A54C1A">
        <w:rPr>
          <w:rFonts w:ascii="Book Antiqua" w:hAnsi="Book Antiqua"/>
          <w:lang w:val="es-ES_tradnl"/>
        </w:rPr>
        <w:t xml:space="preserve">ía de Turismo de Puerto Rico a que </w:t>
      </w:r>
      <w:bookmarkStart w:id="2" w:name="_Hlk39942273"/>
      <w:r w:rsidR="00A54C1A">
        <w:rPr>
          <w:rFonts w:ascii="Book Antiqua" w:hAnsi="Book Antiqua"/>
          <w:lang w:val="es-ES_tradnl"/>
        </w:rPr>
        <w:t xml:space="preserve">emita la </w:t>
      </w:r>
      <w:r w:rsidR="009C2DD5">
        <w:rPr>
          <w:rFonts w:ascii="Book Antiqua" w:hAnsi="Book Antiqua"/>
          <w:lang w:val="es-ES_tradnl"/>
        </w:rPr>
        <w:t>Concesión</w:t>
      </w:r>
      <w:r w:rsidR="00A54C1A">
        <w:rPr>
          <w:rFonts w:ascii="Book Antiqua" w:hAnsi="Book Antiqua"/>
          <w:lang w:val="es-ES_tradnl"/>
        </w:rPr>
        <w:t xml:space="preserve"> de Exención Contributiva y </w:t>
      </w:r>
      <w:r w:rsidR="009C2DD5">
        <w:rPr>
          <w:rFonts w:ascii="Book Antiqua" w:hAnsi="Book Antiqua"/>
          <w:lang w:val="es-ES_tradnl"/>
        </w:rPr>
        <w:t>Créditos</w:t>
      </w:r>
      <w:r w:rsidR="00A54C1A">
        <w:rPr>
          <w:rFonts w:ascii="Book Antiqua" w:hAnsi="Book Antiqua"/>
          <w:lang w:val="es-ES_tradnl"/>
        </w:rPr>
        <w:t xml:space="preserve"> Contributivo </w:t>
      </w:r>
      <w:r w:rsidR="00116750">
        <w:rPr>
          <w:rFonts w:ascii="Book Antiqua" w:hAnsi="Book Antiqua"/>
          <w:lang w:val="es-ES_tradnl"/>
        </w:rPr>
        <w:t>de Ley 74-2010</w:t>
      </w:r>
      <w:bookmarkEnd w:id="2"/>
      <w:r w:rsidR="00116750">
        <w:rPr>
          <w:rFonts w:ascii="Book Antiqua" w:hAnsi="Book Antiqua"/>
          <w:lang w:val="es-ES_tradnl"/>
        </w:rPr>
        <w:t xml:space="preserve"> en</w:t>
      </w:r>
      <w:r w:rsidR="00A54C1A">
        <w:rPr>
          <w:rFonts w:ascii="Book Antiqua" w:hAnsi="Book Antiqua"/>
          <w:lang w:val="es-ES_tradnl"/>
        </w:rPr>
        <w:t xml:space="preserve"> un periodo no mayor de veinte (20) días contados </w:t>
      </w:r>
      <w:bookmarkStart w:id="3" w:name="_Hlk39942181"/>
      <w:r w:rsidR="00A54C1A">
        <w:rPr>
          <w:rFonts w:ascii="Book Antiqua" w:hAnsi="Book Antiqua"/>
          <w:lang w:val="es-ES_tradnl"/>
        </w:rPr>
        <w:t xml:space="preserve">luego de recibir la aprobación de solicitud de la </w:t>
      </w:r>
      <w:r w:rsidR="009C2DD5">
        <w:rPr>
          <w:rFonts w:ascii="Book Antiqua" w:hAnsi="Book Antiqua"/>
          <w:lang w:val="es-ES_tradnl"/>
        </w:rPr>
        <w:t>Concesión</w:t>
      </w:r>
      <w:r w:rsidR="00A54C1A">
        <w:rPr>
          <w:rFonts w:ascii="Book Antiqua" w:hAnsi="Book Antiqua"/>
          <w:lang w:val="es-ES_tradnl"/>
        </w:rPr>
        <w:t xml:space="preserve"> de Exención Contributiva y </w:t>
      </w:r>
      <w:r w:rsidR="009C2DD5">
        <w:rPr>
          <w:rFonts w:ascii="Book Antiqua" w:hAnsi="Book Antiqua"/>
          <w:lang w:val="es-ES_tradnl"/>
        </w:rPr>
        <w:t>Créditos</w:t>
      </w:r>
      <w:r w:rsidR="00A54C1A">
        <w:rPr>
          <w:rFonts w:ascii="Book Antiqua" w:hAnsi="Book Antiqua"/>
          <w:lang w:val="es-ES_tradnl"/>
        </w:rPr>
        <w:t xml:space="preserve"> Contributivos d</w:t>
      </w:r>
      <w:r w:rsidR="009C2DD5">
        <w:rPr>
          <w:rFonts w:ascii="Book Antiqua" w:hAnsi="Book Antiqua"/>
          <w:lang w:val="es-ES_tradnl"/>
        </w:rPr>
        <w:t>e parte del Departamento de Hacienda</w:t>
      </w:r>
      <w:bookmarkEnd w:id="3"/>
      <w:r w:rsidR="009C2DD5">
        <w:rPr>
          <w:rFonts w:ascii="Book Antiqua" w:hAnsi="Book Antiqua"/>
          <w:lang w:val="es-ES_tradnl"/>
        </w:rPr>
        <w:t xml:space="preserve">; </w:t>
      </w:r>
      <w:r w:rsidR="00116750">
        <w:rPr>
          <w:rFonts w:ascii="Book Antiqua" w:hAnsi="Book Antiqua"/>
          <w:lang w:val="es-ES_tradnl"/>
        </w:rPr>
        <w:t xml:space="preserve">Permitir la </w:t>
      </w:r>
      <w:r w:rsidR="00717842">
        <w:rPr>
          <w:rFonts w:ascii="Book Antiqua" w:hAnsi="Book Antiqua"/>
          <w:lang w:val="es-ES_tradnl"/>
        </w:rPr>
        <w:t xml:space="preserve">venta de créditos contributivos </w:t>
      </w:r>
      <w:r w:rsidR="00D673F2">
        <w:rPr>
          <w:rFonts w:ascii="Book Antiqua" w:hAnsi="Book Antiqua"/>
          <w:lang w:val="es-ES_tradnl"/>
        </w:rPr>
        <w:t>equivalente al diez por</w:t>
      </w:r>
      <w:r w:rsidR="0084158D">
        <w:rPr>
          <w:rFonts w:ascii="Book Antiqua" w:hAnsi="Book Antiqua"/>
          <w:lang w:val="es-ES_tradnl"/>
        </w:rPr>
        <w:t xml:space="preserve"> </w:t>
      </w:r>
      <w:r w:rsidR="00D673F2">
        <w:rPr>
          <w:rFonts w:ascii="Book Antiqua" w:hAnsi="Book Antiqua"/>
          <w:lang w:val="es-ES_tradnl"/>
        </w:rPr>
        <w:t>ciento</w:t>
      </w:r>
      <w:r w:rsidR="00717842">
        <w:rPr>
          <w:rFonts w:ascii="Book Antiqua" w:hAnsi="Book Antiqua"/>
          <w:lang w:val="es-ES_tradnl"/>
        </w:rPr>
        <w:t xml:space="preserve"> </w:t>
      </w:r>
      <w:r w:rsidR="00D673F2">
        <w:rPr>
          <w:rFonts w:ascii="Book Antiqua" w:hAnsi="Book Antiqua"/>
          <w:lang w:val="es-ES_tradnl"/>
        </w:rPr>
        <w:t>(</w:t>
      </w:r>
      <w:r w:rsidR="00EB4DDA">
        <w:rPr>
          <w:rFonts w:ascii="Book Antiqua" w:hAnsi="Book Antiqua"/>
          <w:lang w:val="es-ES_tradnl"/>
        </w:rPr>
        <w:t>10%</w:t>
      </w:r>
      <w:r w:rsidR="00D673F2">
        <w:rPr>
          <w:rFonts w:ascii="Book Antiqua" w:hAnsi="Book Antiqua"/>
          <w:lang w:val="es-ES_tradnl"/>
        </w:rPr>
        <w:t>)</w:t>
      </w:r>
      <w:r w:rsidR="00EB4DDA">
        <w:rPr>
          <w:rFonts w:ascii="Book Antiqua" w:hAnsi="Book Antiqua"/>
          <w:lang w:val="es-ES_tradnl"/>
        </w:rPr>
        <w:t xml:space="preserve"> del costo total del proyecto</w:t>
      </w:r>
      <w:r w:rsidR="00EF73BE">
        <w:rPr>
          <w:rFonts w:ascii="Book Antiqua" w:hAnsi="Book Antiqua"/>
          <w:lang w:val="es-ES_tradnl"/>
        </w:rPr>
        <w:t xml:space="preserve"> </w:t>
      </w:r>
      <w:r w:rsidR="00742AF7">
        <w:rPr>
          <w:rFonts w:ascii="Book Antiqua" w:hAnsi="Book Antiqua"/>
          <w:lang w:val="es-ES_tradnl"/>
        </w:rPr>
        <w:t xml:space="preserve">establecido en la Concesión de Exención Contributiva y Créditos Contributivos, </w:t>
      </w:r>
      <w:r w:rsidR="00EF73BE">
        <w:rPr>
          <w:rFonts w:ascii="Book Antiqua" w:hAnsi="Book Antiqua"/>
          <w:lang w:val="es-ES_tradnl"/>
        </w:rPr>
        <w:t>pero</w:t>
      </w:r>
      <w:r w:rsidR="00EB4DDA">
        <w:rPr>
          <w:rFonts w:ascii="Book Antiqua" w:hAnsi="Book Antiqua"/>
          <w:lang w:val="es-ES_tradnl"/>
        </w:rPr>
        <w:t xml:space="preserve"> </w:t>
      </w:r>
      <w:r w:rsidR="00D673F2">
        <w:rPr>
          <w:rFonts w:ascii="Book Antiqua" w:hAnsi="Book Antiqua"/>
          <w:lang w:val="es-ES_tradnl"/>
        </w:rPr>
        <w:t>cuya cantidad no exceda</w:t>
      </w:r>
      <w:r w:rsidR="00EB4DDA">
        <w:rPr>
          <w:rFonts w:ascii="Book Antiqua" w:hAnsi="Book Antiqua"/>
          <w:lang w:val="es-ES_tradnl"/>
        </w:rPr>
        <w:t xml:space="preserve"> de</w:t>
      </w:r>
      <w:r w:rsidR="00717842">
        <w:rPr>
          <w:rFonts w:ascii="Book Antiqua" w:hAnsi="Book Antiqua"/>
          <w:lang w:val="es-ES_tradnl"/>
        </w:rPr>
        <w:t xml:space="preserve"> </w:t>
      </w:r>
      <w:r w:rsidR="00667D7C">
        <w:rPr>
          <w:rFonts w:ascii="Book Antiqua" w:hAnsi="Book Antiqua"/>
          <w:lang w:val="es-ES_tradnl"/>
        </w:rPr>
        <w:t xml:space="preserve">un </w:t>
      </w:r>
      <w:r w:rsidR="00717842">
        <w:rPr>
          <w:rFonts w:ascii="Book Antiqua" w:hAnsi="Book Antiqua"/>
          <w:lang w:val="es-ES_tradnl"/>
        </w:rPr>
        <w:t>(1) millón de dólares</w:t>
      </w:r>
      <w:r w:rsidR="00EB4DDA">
        <w:rPr>
          <w:rFonts w:ascii="Book Antiqua" w:hAnsi="Book Antiqua"/>
          <w:lang w:val="es-ES_tradnl"/>
        </w:rPr>
        <w:t xml:space="preserve">, </w:t>
      </w:r>
      <w:r w:rsidR="00717842">
        <w:rPr>
          <w:rFonts w:ascii="Book Antiqua" w:hAnsi="Book Antiqua"/>
          <w:lang w:val="es-ES_tradnl"/>
        </w:rPr>
        <w:t>a entidades que se acogieron a la alterna de</w:t>
      </w:r>
      <w:r w:rsidR="0084158D">
        <w:rPr>
          <w:rFonts w:ascii="Book Antiqua" w:hAnsi="Book Antiqua"/>
          <w:lang w:val="es-ES_tradnl"/>
        </w:rPr>
        <w:t>l cuarenta por ciento</w:t>
      </w:r>
      <w:r w:rsidR="00717842">
        <w:rPr>
          <w:rFonts w:ascii="Book Antiqua" w:hAnsi="Book Antiqua"/>
          <w:lang w:val="es-ES_tradnl"/>
        </w:rPr>
        <w:t xml:space="preserve"> </w:t>
      </w:r>
      <w:r w:rsidR="0084158D">
        <w:rPr>
          <w:rFonts w:ascii="Book Antiqua" w:hAnsi="Book Antiqua"/>
          <w:lang w:val="es-ES_tradnl"/>
        </w:rPr>
        <w:t>(</w:t>
      </w:r>
      <w:r w:rsidR="00717842">
        <w:rPr>
          <w:rFonts w:ascii="Book Antiqua" w:hAnsi="Book Antiqua"/>
          <w:lang w:val="es-ES_tradnl"/>
        </w:rPr>
        <w:t>40%</w:t>
      </w:r>
      <w:r w:rsidR="0084158D">
        <w:rPr>
          <w:rFonts w:ascii="Book Antiqua" w:hAnsi="Book Antiqua"/>
          <w:lang w:val="es-ES_tradnl"/>
        </w:rPr>
        <w:t>)</w:t>
      </w:r>
      <w:r w:rsidR="00717842">
        <w:rPr>
          <w:rFonts w:ascii="Book Antiqua" w:hAnsi="Book Antiqua"/>
          <w:lang w:val="es-ES_tradnl"/>
        </w:rPr>
        <w:t xml:space="preserve"> </w:t>
      </w:r>
      <w:r w:rsidR="00F015DA">
        <w:rPr>
          <w:rFonts w:ascii="Book Antiqua" w:hAnsi="Book Antiqua"/>
          <w:lang w:val="es-ES_tradnl"/>
        </w:rPr>
        <w:t xml:space="preserve">de créditos contributivos </w:t>
      </w:r>
      <w:r w:rsidR="00EB4DDA">
        <w:rPr>
          <w:rFonts w:ascii="Book Antiqua" w:hAnsi="Book Antiqua"/>
          <w:lang w:val="es-ES_tradnl"/>
        </w:rPr>
        <w:t xml:space="preserve">bajo la Ley 74-2010 según enmendada, </w:t>
      </w:r>
      <w:r w:rsidR="00EF73BE">
        <w:rPr>
          <w:rFonts w:ascii="Book Antiqua" w:hAnsi="Book Antiqua"/>
          <w:lang w:val="es-ES_tradnl"/>
        </w:rPr>
        <w:t xml:space="preserve">y </w:t>
      </w:r>
      <w:r w:rsidR="00735AA9">
        <w:rPr>
          <w:rFonts w:ascii="Book Antiqua" w:hAnsi="Book Antiqua"/>
          <w:lang w:val="es-ES_tradnl"/>
        </w:rPr>
        <w:t xml:space="preserve">cuyos proyectos turísticos </w:t>
      </w:r>
      <w:r w:rsidR="00EB4DDA">
        <w:rPr>
          <w:rFonts w:ascii="Book Antiqua" w:hAnsi="Book Antiqua"/>
          <w:lang w:val="es-ES_tradnl"/>
        </w:rPr>
        <w:t xml:space="preserve">actualmente estén en </w:t>
      </w:r>
      <w:r w:rsidR="00667D7C">
        <w:rPr>
          <w:rFonts w:ascii="Book Antiqua" w:hAnsi="Book Antiqua"/>
          <w:lang w:val="es-ES_tradnl"/>
        </w:rPr>
        <w:t>desarrollo</w:t>
      </w:r>
      <w:r w:rsidR="00EB4DDA">
        <w:rPr>
          <w:rFonts w:ascii="Book Antiqua" w:hAnsi="Book Antiqua"/>
          <w:lang w:val="es-ES_tradnl"/>
        </w:rPr>
        <w:t xml:space="preserve"> o </w:t>
      </w:r>
      <w:r w:rsidR="00735AA9">
        <w:rPr>
          <w:rFonts w:ascii="Book Antiqua" w:hAnsi="Book Antiqua"/>
          <w:lang w:val="es-ES_tradnl"/>
        </w:rPr>
        <w:t>en</w:t>
      </w:r>
      <w:r w:rsidR="00EB4DDA">
        <w:rPr>
          <w:rFonts w:ascii="Book Antiqua" w:hAnsi="Book Antiqua"/>
          <w:lang w:val="es-ES_tradnl"/>
        </w:rPr>
        <w:t xml:space="preserve"> primer año de operación</w:t>
      </w:r>
      <w:r>
        <w:rPr>
          <w:rFonts w:ascii="Book Antiqua" w:hAnsi="Book Antiqua"/>
          <w:lang w:val="es-ES_tradnl"/>
        </w:rPr>
        <w:t>; y para otros fines relacionados.</w:t>
      </w:r>
    </w:p>
    <w:p w14:paraId="39800D76" w14:textId="77777777" w:rsidR="002E03F7" w:rsidRDefault="002E03F7" w:rsidP="001D7114">
      <w:pPr>
        <w:ind w:left="360" w:hanging="360"/>
        <w:jc w:val="both"/>
        <w:rPr>
          <w:rFonts w:ascii="Book Antiqua" w:hAnsi="Book Antiqua"/>
          <w:lang w:val="es-ES_tradnl"/>
        </w:rPr>
      </w:pPr>
    </w:p>
    <w:p w14:paraId="7433BBE4" w14:textId="77777777" w:rsidR="00AB077A" w:rsidRDefault="00AB077A" w:rsidP="001D7114">
      <w:pPr>
        <w:ind w:left="360" w:hanging="360"/>
        <w:jc w:val="both"/>
        <w:rPr>
          <w:rFonts w:ascii="Book Antiqua" w:hAnsi="Book Antiqua"/>
          <w:lang w:val="es-ES_tradnl"/>
        </w:rPr>
      </w:pPr>
    </w:p>
    <w:p w14:paraId="67CC0A1A" w14:textId="77777777" w:rsidR="00AB077A" w:rsidRDefault="00AB077A" w:rsidP="001D7114">
      <w:pPr>
        <w:ind w:left="360" w:hanging="360"/>
        <w:jc w:val="both"/>
        <w:rPr>
          <w:rFonts w:ascii="Book Antiqua" w:hAnsi="Book Antiqua"/>
          <w:lang w:val="es-ES_tradnl"/>
        </w:rPr>
      </w:pPr>
      <w:bookmarkStart w:id="4" w:name="_GoBack"/>
      <w:bookmarkEnd w:id="4"/>
    </w:p>
    <w:p w14:paraId="00912D54" w14:textId="77777777" w:rsidR="002E03F7" w:rsidRDefault="002E03F7" w:rsidP="001D7114">
      <w:pPr>
        <w:jc w:val="center"/>
        <w:rPr>
          <w:rFonts w:ascii="Book Antiqua" w:hAnsi="Book Antiqua"/>
          <w:lang w:val="es-ES_tradnl"/>
        </w:rPr>
      </w:pPr>
      <w:r>
        <w:rPr>
          <w:rFonts w:ascii="Book Antiqua" w:hAnsi="Book Antiqua"/>
          <w:lang w:val="es-ES_tradnl"/>
        </w:rPr>
        <w:t>EXPOSICIÓN DE MOTIVOS</w:t>
      </w:r>
    </w:p>
    <w:p w14:paraId="5C84B19A" w14:textId="77777777" w:rsidR="001D7114" w:rsidRDefault="001D7114" w:rsidP="001D7114">
      <w:pPr>
        <w:jc w:val="center"/>
        <w:rPr>
          <w:rFonts w:ascii="Book Antiqua" w:hAnsi="Book Antiqua"/>
          <w:lang w:val="es-ES_tradnl"/>
        </w:rPr>
      </w:pPr>
    </w:p>
    <w:p w14:paraId="69505B2A" w14:textId="56824980" w:rsidR="007532BB" w:rsidRDefault="002E03F7" w:rsidP="007532BB">
      <w:pPr>
        <w:ind w:firstLine="567"/>
        <w:jc w:val="both"/>
        <w:rPr>
          <w:rStyle w:val="Strong"/>
          <w:rFonts w:ascii="Book Antiqua" w:hAnsi="Book Antiqua" w:cs="Arial"/>
          <w:b w:val="0"/>
          <w:bCs w:val="0"/>
          <w:color w:val="222222"/>
          <w:szCs w:val="24"/>
          <w:lang w:val="es-ES"/>
        </w:rPr>
      </w:pPr>
      <w:r w:rsidRPr="00CB5BC5">
        <w:rPr>
          <w:rFonts w:ascii="Book Antiqua" w:hAnsi="Book Antiqua"/>
          <w:szCs w:val="24"/>
          <w:lang w:val="es-419"/>
        </w:rPr>
        <w:t>El COVID-19, conocido como coronavirus</w:t>
      </w:r>
      <w:r w:rsidR="00CB5BC5" w:rsidRPr="00CB5BC5">
        <w:rPr>
          <w:rFonts w:ascii="Book Antiqua" w:hAnsi="Book Antiqua"/>
          <w:szCs w:val="24"/>
          <w:lang w:val="es-419"/>
        </w:rPr>
        <w:t xml:space="preserve"> ha </w:t>
      </w:r>
      <w:r w:rsidR="00CB5BC5" w:rsidRPr="00CB5BC5">
        <w:rPr>
          <w:rFonts w:ascii="Book Antiqua" w:hAnsi="Book Antiqua" w:cs="Arial"/>
          <w:color w:val="222222"/>
          <w:szCs w:val="24"/>
          <w:lang w:val="es-ES"/>
        </w:rPr>
        <w:t xml:space="preserve">llevado al mundo a su paralización, y el turismo ha sido el más afectado de todos los grandes sectores económicos. En un marco </w:t>
      </w:r>
      <w:r w:rsidR="00CB5BC5" w:rsidRPr="00CB5BC5">
        <w:rPr>
          <w:rFonts w:ascii="Book Antiqua" w:hAnsi="Book Antiqua" w:cs="Arial"/>
          <w:color w:val="222222"/>
          <w:szCs w:val="24"/>
          <w:lang w:val="es-ES"/>
        </w:rPr>
        <w:lastRenderedPageBreak/>
        <w:t>de incertidumbre exacerbada, contar con información actualizada</w:t>
      </w:r>
      <w:r w:rsidR="007532BB">
        <w:rPr>
          <w:rFonts w:ascii="Book Antiqua" w:hAnsi="Book Antiqua" w:cs="Arial"/>
          <w:color w:val="222222"/>
          <w:szCs w:val="24"/>
          <w:lang w:val="es-ES"/>
        </w:rPr>
        <w:t xml:space="preserve"> </w:t>
      </w:r>
      <w:r w:rsidR="00CB5BC5" w:rsidRPr="00CB5BC5">
        <w:rPr>
          <w:rFonts w:ascii="Book Antiqua" w:hAnsi="Book Antiqua" w:cs="Arial"/>
          <w:color w:val="222222"/>
          <w:szCs w:val="24"/>
          <w:lang w:val="es-ES"/>
        </w:rPr>
        <w:t>y</w:t>
      </w:r>
      <w:r w:rsidR="00E35401">
        <w:rPr>
          <w:rFonts w:ascii="Book Antiqua" w:hAnsi="Book Antiqua" w:cs="Arial"/>
          <w:color w:val="222222"/>
          <w:szCs w:val="24"/>
          <w:lang w:val="es-ES"/>
        </w:rPr>
        <w:t xml:space="preserve"> conf</w:t>
      </w:r>
      <w:r w:rsidR="00CB5BC5">
        <w:rPr>
          <w:rFonts w:ascii="Book Antiqua" w:hAnsi="Book Antiqua" w:cs="Arial"/>
          <w:color w:val="222222"/>
          <w:szCs w:val="24"/>
          <w:lang w:val="es-ES"/>
        </w:rPr>
        <w:t>iable</w:t>
      </w:r>
      <w:r w:rsidR="00CB5BC5" w:rsidRPr="00CB5BC5">
        <w:rPr>
          <w:rFonts w:ascii="Book Antiqua" w:hAnsi="Book Antiqua" w:cs="Arial"/>
          <w:color w:val="222222"/>
          <w:szCs w:val="24"/>
          <w:lang w:val="es-ES"/>
        </w:rPr>
        <w:t xml:space="preserve"> es más importante que nunca, tanto para los turistas como para </w:t>
      </w:r>
      <w:r w:rsidR="00150906">
        <w:rPr>
          <w:rFonts w:ascii="Book Antiqua" w:hAnsi="Book Antiqua" w:cs="Arial"/>
          <w:color w:val="222222"/>
          <w:szCs w:val="24"/>
          <w:lang w:val="es-ES"/>
        </w:rPr>
        <w:t>los destinos turísticos</w:t>
      </w:r>
      <w:r w:rsidR="00CB5BC5" w:rsidRPr="00CB5BC5">
        <w:rPr>
          <w:rFonts w:ascii="Arial" w:hAnsi="Arial" w:cs="Arial"/>
          <w:color w:val="222222"/>
          <w:sz w:val="27"/>
          <w:szCs w:val="27"/>
          <w:lang w:val="es-ES"/>
        </w:rPr>
        <w:t>.</w:t>
      </w:r>
      <w:r w:rsidR="00CB5BC5">
        <w:rPr>
          <w:rFonts w:ascii="Arial" w:hAnsi="Arial" w:cs="Arial"/>
          <w:color w:val="222222"/>
          <w:sz w:val="27"/>
          <w:szCs w:val="27"/>
          <w:lang w:val="es-ES"/>
        </w:rPr>
        <w:t xml:space="preserve">  </w:t>
      </w:r>
      <w:r w:rsidR="007532BB" w:rsidRPr="007532BB">
        <w:rPr>
          <w:rFonts w:ascii="Book Antiqua" w:hAnsi="Book Antiqua" w:cs="Arial"/>
          <w:color w:val="222222"/>
          <w:szCs w:val="24"/>
          <w:lang w:val="es-ES"/>
        </w:rPr>
        <w:t xml:space="preserve">A nivel global, </w:t>
      </w:r>
      <w:r w:rsidR="007532BB">
        <w:rPr>
          <w:rStyle w:val="Strong"/>
          <w:rFonts w:ascii="Book Antiqua" w:hAnsi="Book Antiqua" w:cs="Arial"/>
          <w:b w:val="0"/>
          <w:bCs w:val="0"/>
          <w:color w:val="222222"/>
          <w:szCs w:val="24"/>
          <w:lang w:val="es-ES"/>
        </w:rPr>
        <w:t>l</w:t>
      </w:r>
      <w:r w:rsidR="00291393" w:rsidRPr="007532BB">
        <w:rPr>
          <w:rStyle w:val="Strong"/>
          <w:rFonts w:ascii="Book Antiqua" w:hAnsi="Book Antiqua" w:cs="Arial"/>
          <w:b w:val="0"/>
          <w:bCs w:val="0"/>
          <w:color w:val="222222"/>
          <w:szCs w:val="24"/>
          <w:lang w:val="es-ES"/>
        </w:rPr>
        <w:t>a</w:t>
      </w:r>
      <w:r w:rsidR="00291393" w:rsidRPr="00291393">
        <w:rPr>
          <w:rStyle w:val="Strong"/>
          <w:rFonts w:ascii="Book Antiqua" w:hAnsi="Book Antiqua" w:cs="Arial"/>
          <w:b w:val="0"/>
          <w:bCs w:val="0"/>
          <w:color w:val="222222"/>
          <w:szCs w:val="24"/>
          <w:lang w:val="es-ES"/>
        </w:rPr>
        <w:t xml:space="preserve"> pandemia de COVID-19 ha provocado una caída del 22% en las llegadas de turistas internacionales durante el primer trimestre de 2020, como muestran los datos más recientes de la Organización Mundial del Turismo (OMT). Según el organismo especializado de las Naciones Unidas, la crisis podría llevar a un declive anual de entre el 60% y el 80% en comparación con las cifras de 2019. La caída pone en riesgo el medio de sustento de millones de personas </w:t>
      </w:r>
      <w:r w:rsidR="007532BB">
        <w:rPr>
          <w:rStyle w:val="Strong"/>
          <w:rFonts w:ascii="Book Antiqua" w:hAnsi="Book Antiqua" w:cs="Arial"/>
          <w:b w:val="0"/>
          <w:bCs w:val="0"/>
          <w:color w:val="222222"/>
          <w:szCs w:val="24"/>
          <w:lang w:val="es-ES"/>
        </w:rPr>
        <w:t>que laboran en este sector en todo el mundo.</w:t>
      </w:r>
    </w:p>
    <w:p w14:paraId="435F00C3" w14:textId="77777777" w:rsidR="00751BD6" w:rsidRDefault="00751BD6" w:rsidP="007532BB">
      <w:pPr>
        <w:ind w:firstLine="567"/>
        <w:jc w:val="both"/>
        <w:rPr>
          <w:rStyle w:val="Strong"/>
          <w:rFonts w:ascii="Book Antiqua" w:hAnsi="Book Antiqua" w:cs="Arial"/>
          <w:b w:val="0"/>
          <w:bCs w:val="0"/>
          <w:color w:val="222222"/>
          <w:szCs w:val="24"/>
          <w:lang w:val="es-ES"/>
        </w:rPr>
      </w:pPr>
    </w:p>
    <w:p w14:paraId="0C1A9307" w14:textId="11FA9367" w:rsidR="001F2499" w:rsidRDefault="00E128C0" w:rsidP="002712AC">
      <w:pPr>
        <w:ind w:firstLine="567"/>
        <w:jc w:val="both"/>
        <w:rPr>
          <w:rStyle w:val="Strong"/>
          <w:rFonts w:ascii="Book Antiqua" w:hAnsi="Book Antiqua" w:cs="Arial"/>
          <w:b w:val="0"/>
          <w:bCs w:val="0"/>
          <w:color w:val="222222"/>
          <w:szCs w:val="24"/>
          <w:lang w:val="es-ES"/>
        </w:rPr>
      </w:pPr>
      <w:r>
        <w:rPr>
          <w:rStyle w:val="Strong"/>
          <w:rFonts w:ascii="Book Antiqua" w:hAnsi="Book Antiqua" w:cs="Arial"/>
          <w:b w:val="0"/>
          <w:bCs w:val="0"/>
          <w:color w:val="222222"/>
          <w:szCs w:val="24"/>
          <w:lang w:val="es-ES"/>
        </w:rPr>
        <w:t xml:space="preserve">Según data provista por el Center </w:t>
      </w:r>
      <w:proofErr w:type="spellStart"/>
      <w:r w:rsidR="00E35401">
        <w:rPr>
          <w:rStyle w:val="Strong"/>
          <w:rFonts w:ascii="Book Antiqua" w:hAnsi="Book Antiqua" w:cs="Arial"/>
          <w:b w:val="0"/>
          <w:bCs w:val="0"/>
          <w:color w:val="222222"/>
          <w:szCs w:val="24"/>
          <w:lang w:val="es-ES"/>
        </w:rPr>
        <w:t>for</w:t>
      </w:r>
      <w:proofErr w:type="spellEnd"/>
      <w:r w:rsidR="00E35401">
        <w:rPr>
          <w:rStyle w:val="Strong"/>
          <w:rFonts w:ascii="Book Antiqua" w:hAnsi="Book Antiqua" w:cs="Arial"/>
          <w:b w:val="0"/>
          <w:bCs w:val="0"/>
          <w:color w:val="222222"/>
          <w:szCs w:val="24"/>
          <w:lang w:val="es-ES"/>
        </w:rPr>
        <w:t xml:space="preserve"> </w:t>
      </w:r>
      <w:proofErr w:type="spellStart"/>
      <w:r w:rsidR="00E35401">
        <w:rPr>
          <w:rStyle w:val="Strong"/>
          <w:rFonts w:ascii="Book Antiqua" w:hAnsi="Book Antiqua" w:cs="Arial"/>
          <w:b w:val="0"/>
          <w:bCs w:val="0"/>
          <w:color w:val="222222"/>
          <w:szCs w:val="24"/>
          <w:lang w:val="es-ES"/>
        </w:rPr>
        <w:t>Hospitality</w:t>
      </w:r>
      <w:proofErr w:type="spellEnd"/>
      <w:r w:rsidR="00E35401">
        <w:rPr>
          <w:rStyle w:val="Strong"/>
          <w:rFonts w:ascii="Book Antiqua" w:hAnsi="Book Antiqua" w:cs="Arial"/>
          <w:b w:val="0"/>
          <w:bCs w:val="0"/>
          <w:color w:val="222222"/>
          <w:szCs w:val="24"/>
          <w:lang w:val="es-ES"/>
        </w:rPr>
        <w:t xml:space="preserve"> </w:t>
      </w:r>
      <w:proofErr w:type="spellStart"/>
      <w:r>
        <w:rPr>
          <w:rStyle w:val="Strong"/>
          <w:rFonts w:ascii="Book Antiqua" w:hAnsi="Book Antiqua" w:cs="Arial"/>
          <w:b w:val="0"/>
          <w:bCs w:val="0"/>
          <w:color w:val="222222"/>
          <w:szCs w:val="24"/>
          <w:lang w:val="es-ES"/>
        </w:rPr>
        <w:t>Researc</w:t>
      </w:r>
      <w:r w:rsidR="00E35401">
        <w:rPr>
          <w:rStyle w:val="Strong"/>
          <w:rFonts w:ascii="Book Antiqua" w:hAnsi="Book Antiqua" w:cs="Arial"/>
          <w:b w:val="0"/>
          <w:bCs w:val="0"/>
          <w:color w:val="222222"/>
          <w:szCs w:val="24"/>
          <w:lang w:val="es-ES"/>
        </w:rPr>
        <w:t>h</w:t>
      </w:r>
      <w:proofErr w:type="spellEnd"/>
      <w:r>
        <w:rPr>
          <w:rStyle w:val="Strong"/>
          <w:rFonts w:ascii="Book Antiqua" w:hAnsi="Book Antiqua" w:cs="Arial"/>
          <w:b w:val="0"/>
          <w:bCs w:val="0"/>
          <w:color w:val="222222"/>
          <w:szCs w:val="24"/>
          <w:lang w:val="es-ES"/>
        </w:rPr>
        <w:t xml:space="preserve"> de la </w:t>
      </w:r>
      <w:r w:rsidR="00E35401">
        <w:rPr>
          <w:rStyle w:val="Strong"/>
          <w:rFonts w:ascii="Book Antiqua" w:hAnsi="Book Antiqua" w:cs="Arial"/>
          <w:b w:val="0"/>
          <w:bCs w:val="0"/>
          <w:color w:val="222222"/>
          <w:szCs w:val="24"/>
          <w:lang w:val="es-ES"/>
        </w:rPr>
        <w:t xml:space="preserve">Escuela de Administración de Hoteles de la </w:t>
      </w:r>
      <w:r>
        <w:rPr>
          <w:rStyle w:val="Strong"/>
          <w:rFonts w:ascii="Book Antiqua" w:hAnsi="Book Antiqua" w:cs="Arial"/>
          <w:b w:val="0"/>
          <w:bCs w:val="0"/>
          <w:color w:val="222222"/>
          <w:szCs w:val="24"/>
          <w:lang w:val="es-ES"/>
        </w:rPr>
        <w:t xml:space="preserve">Universidad de </w:t>
      </w:r>
      <w:proofErr w:type="spellStart"/>
      <w:r>
        <w:rPr>
          <w:rStyle w:val="Strong"/>
          <w:rFonts w:ascii="Book Antiqua" w:hAnsi="Book Antiqua" w:cs="Arial"/>
          <w:b w:val="0"/>
          <w:bCs w:val="0"/>
          <w:color w:val="222222"/>
          <w:szCs w:val="24"/>
          <w:lang w:val="es-ES"/>
        </w:rPr>
        <w:t>Cornell</w:t>
      </w:r>
      <w:proofErr w:type="spellEnd"/>
      <w:r>
        <w:rPr>
          <w:rStyle w:val="Strong"/>
          <w:rFonts w:ascii="Book Antiqua" w:hAnsi="Book Antiqua" w:cs="Arial"/>
          <w:b w:val="0"/>
          <w:bCs w:val="0"/>
          <w:color w:val="222222"/>
          <w:szCs w:val="24"/>
          <w:lang w:val="es-ES"/>
        </w:rPr>
        <w:t>, un total de 5,415 hoteles en Estados Unidos habían cerrado al 4 de mayo del presente año. Est</w:t>
      </w:r>
      <w:r w:rsidR="00A12282">
        <w:rPr>
          <w:rStyle w:val="Strong"/>
          <w:rFonts w:ascii="Book Antiqua" w:hAnsi="Book Antiqua" w:cs="Arial"/>
          <w:b w:val="0"/>
          <w:bCs w:val="0"/>
          <w:color w:val="222222"/>
          <w:szCs w:val="24"/>
          <w:lang w:val="es-ES"/>
        </w:rPr>
        <w:t xml:space="preserve">o </w:t>
      </w:r>
      <w:r>
        <w:rPr>
          <w:rStyle w:val="Strong"/>
          <w:rFonts w:ascii="Book Antiqua" w:hAnsi="Book Antiqua" w:cs="Arial"/>
          <w:b w:val="0"/>
          <w:bCs w:val="0"/>
          <w:color w:val="222222"/>
          <w:szCs w:val="24"/>
          <w:lang w:val="es-ES"/>
        </w:rPr>
        <w:t xml:space="preserve">representa un aumento de </w:t>
      </w:r>
      <w:proofErr w:type="spellStart"/>
      <w:proofErr w:type="gramStart"/>
      <w:r>
        <w:rPr>
          <w:rStyle w:val="Strong"/>
          <w:rFonts w:ascii="Book Antiqua" w:hAnsi="Book Antiqua" w:cs="Arial"/>
          <w:b w:val="0"/>
          <w:bCs w:val="0"/>
          <w:color w:val="222222"/>
          <w:szCs w:val="24"/>
          <w:lang w:val="es-ES"/>
        </w:rPr>
        <w:t>mas</w:t>
      </w:r>
      <w:proofErr w:type="spellEnd"/>
      <w:proofErr w:type="gramEnd"/>
      <w:r>
        <w:rPr>
          <w:rStyle w:val="Strong"/>
          <w:rFonts w:ascii="Book Antiqua" w:hAnsi="Book Antiqua" w:cs="Arial"/>
          <w:b w:val="0"/>
          <w:bCs w:val="0"/>
          <w:color w:val="222222"/>
          <w:szCs w:val="24"/>
          <w:lang w:val="es-ES"/>
        </w:rPr>
        <w:t xml:space="preserve"> de 17% en solo tres semanas.  La tasa de ocupación hotelera tanto en Estados Unidos Continentales como en Puerto Rico ha bajado a números de un solo digito. </w:t>
      </w:r>
      <w:r w:rsidR="00751BD6">
        <w:rPr>
          <w:rStyle w:val="Strong"/>
          <w:rFonts w:ascii="Book Antiqua" w:hAnsi="Book Antiqua" w:cs="Arial"/>
          <w:b w:val="0"/>
          <w:bCs w:val="0"/>
          <w:color w:val="222222"/>
          <w:szCs w:val="24"/>
          <w:lang w:val="es-ES"/>
        </w:rPr>
        <w:t>Esto</w:t>
      </w:r>
      <w:r w:rsidR="00A12282">
        <w:rPr>
          <w:rStyle w:val="Strong"/>
          <w:rFonts w:ascii="Book Antiqua" w:hAnsi="Book Antiqua" w:cs="Arial"/>
          <w:b w:val="0"/>
          <w:bCs w:val="0"/>
          <w:color w:val="222222"/>
          <w:szCs w:val="24"/>
          <w:lang w:val="es-ES"/>
        </w:rPr>
        <w:t xml:space="preserve"> </w:t>
      </w:r>
      <w:r w:rsidR="00751BD6">
        <w:rPr>
          <w:rStyle w:val="Strong"/>
          <w:rFonts w:ascii="Book Antiqua" w:hAnsi="Book Antiqua" w:cs="Arial"/>
          <w:b w:val="0"/>
          <w:bCs w:val="0"/>
          <w:color w:val="222222"/>
          <w:szCs w:val="24"/>
          <w:lang w:val="es-ES"/>
        </w:rPr>
        <w:t xml:space="preserve">contrasta con lo que se vislumbraba </w:t>
      </w:r>
      <w:r w:rsidR="00A12282">
        <w:rPr>
          <w:rStyle w:val="Strong"/>
          <w:rFonts w:ascii="Book Antiqua" w:hAnsi="Book Antiqua" w:cs="Arial"/>
          <w:b w:val="0"/>
          <w:bCs w:val="0"/>
          <w:color w:val="222222"/>
          <w:szCs w:val="24"/>
          <w:lang w:val="es-ES"/>
        </w:rPr>
        <w:t>sería</w:t>
      </w:r>
      <w:r w:rsidR="00751BD6">
        <w:rPr>
          <w:rStyle w:val="Strong"/>
          <w:rFonts w:ascii="Book Antiqua" w:hAnsi="Book Antiqua" w:cs="Arial"/>
          <w:b w:val="0"/>
          <w:bCs w:val="0"/>
          <w:color w:val="222222"/>
          <w:szCs w:val="24"/>
          <w:lang w:val="es-ES"/>
        </w:rPr>
        <w:t xml:space="preserve"> un a</w:t>
      </w:r>
      <w:r w:rsidR="00E35401">
        <w:rPr>
          <w:rFonts w:ascii="Book Antiqua" w:hAnsi="Book Antiqua"/>
          <w:lang w:val="es-ES_tradnl"/>
        </w:rPr>
        <w:t>ñ</w:t>
      </w:r>
      <w:r w:rsidR="00751BD6">
        <w:rPr>
          <w:rStyle w:val="Strong"/>
          <w:rFonts w:ascii="Book Antiqua" w:hAnsi="Book Antiqua" w:cs="Arial"/>
          <w:b w:val="0"/>
          <w:bCs w:val="0"/>
          <w:color w:val="222222"/>
          <w:szCs w:val="24"/>
          <w:lang w:val="es-ES"/>
        </w:rPr>
        <w:t>o récord en visita de turistas y estadías hoteleras y otro</w:t>
      </w:r>
      <w:r w:rsidR="00E02A81">
        <w:rPr>
          <w:rStyle w:val="Strong"/>
          <w:rFonts w:ascii="Book Antiqua" w:hAnsi="Book Antiqua" w:cs="Arial"/>
          <w:b w:val="0"/>
          <w:bCs w:val="0"/>
          <w:color w:val="222222"/>
          <w:szCs w:val="24"/>
          <w:lang w:val="es-ES"/>
        </w:rPr>
        <w:t>s</w:t>
      </w:r>
      <w:r w:rsidR="00751BD6">
        <w:rPr>
          <w:rStyle w:val="Strong"/>
          <w:rFonts w:ascii="Book Antiqua" w:hAnsi="Book Antiqua" w:cs="Arial"/>
          <w:b w:val="0"/>
          <w:bCs w:val="0"/>
          <w:color w:val="222222"/>
          <w:szCs w:val="24"/>
          <w:lang w:val="es-ES"/>
        </w:rPr>
        <w:t xml:space="preserve"> tipo</w:t>
      </w:r>
      <w:r w:rsidR="00E02A81">
        <w:rPr>
          <w:rStyle w:val="Strong"/>
          <w:rFonts w:ascii="Book Antiqua" w:hAnsi="Book Antiqua" w:cs="Arial"/>
          <w:b w:val="0"/>
          <w:bCs w:val="0"/>
          <w:color w:val="222222"/>
          <w:szCs w:val="24"/>
          <w:lang w:val="es-ES"/>
        </w:rPr>
        <w:t>s</w:t>
      </w:r>
      <w:r w:rsidR="00751BD6">
        <w:rPr>
          <w:rStyle w:val="Strong"/>
          <w:rFonts w:ascii="Book Antiqua" w:hAnsi="Book Antiqua" w:cs="Arial"/>
          <w:b w:val="0"/>
          <w:bCs w:val="0"/>
          <w:color w:val="222222"/>
          <w:szCs w:val="24"/>
          <w:lang w:val="es-ES"/>
        </w:rPr>
        <w:t xml:space="preserve"> de alojamiento a corto plazo en nuestra Isla.</w:t>
      </w:r>
      <w:r w:rsidR="00FD22A7">
        <w:rPr>
          <w:rStyle w:val="Strong"/>
          <w:rFonts w:ascii="Book Antiqua" w:hAnsi="Book Antiqua" w:cs="Arial"/>
          <w:b w:val="0"/>
          <w:bCs w:val="0"/>
          <w:color w:val="222222"/>
          <w:szCs w:val="24"/>
          <w:lang w:val="es-ES"/>
        </w:rPr>
        <w:t xml:space="preserve"> Gr</w:t>
      </w:r>
      <w:r w:rsidR="00A12282">
        <w:rPr>
          <w:rStyle w:val="Strong"/>
          <w:rFonts w:ascii="Book Antiqua" w:hAnsi="Book Antiqua" w:cs="Arial"/>
          <w:b w:val="0"/>
          <w:bCs w:val="0"/>
          <w:color w:val="222222"/>
          <w:szCs w:val="24"/>
          <w:lang w:val="es-ES"/>
        </w:rPr>
        <w:t xml:space="preserve">upos </w:t>
      </w:r>
      <w:r w:rsidR="00E02A81">
        <w:rPr>
          <w:rStyle w:val="Strong"/>
          <w:rFonts w:ascii="Book Antiqua" w:hAnsi="Book Antiqua" w:cs="Arial"/>
          <w:b w:val="0"/>
          <w:bCs w:val="0"/>
          <w:color w:val="222222"/>
          <w:szCs w:val="24"/>
          <w:lang w:val="es-ES"/>
        </w:rPr>
        <w:t xml:space="preserve">de investigación </w:t>
      </w:r>
      <w:r w:rsidR="00A12282">
        <w:rPr>
          <w:rStyle w:val="Strong"/>
          <w:rFonts w:ascii="Book Antiqua" w:hAnsi="Book Antiqua" w:cs="Arial"/>
          <w:b w:val="0"/>
          <w:bCs w:val="0"/>
          <w:color w:val="222222"/>
          <w:szCs w:val="24"/>
          <w:lang w:val="es-ES"/>
        </w:rPr>
        <w:t xml:space="preserve">de alcance mundial tales como Oxford </w:t>
      </w:r>
      <w:proofErr w:type="spellStart"/>
      <w:r w:rsidR="00A12282">
        <w:rPr>
          <w:rStyle w:val="Strong"/>
          <w:rFonts w:ascii="Book Antiqua" w:hAnsi="Book Antiqua" w:cs="Arial"/>
          <w:b w:val="0"/>
          <w:bCs w:val="0"/>
          <w:color w:val="222222"/>
          <w:szCs w:val="24"/>
          <w:lang w:val="es-ES"/>
        </w:rPr>
        <w:t>Economics</w:t>
      </w:r>
      <w:proofErr w:type="spellEnd"/>
      <w:r w:rsidR="00E02A81">
        <w:rPr>
          <w:rStyle w:val="Strong"/>
          <w:rFonts w:ascii="Book Antiqua" w:hAnsi="Book Antiqua" w:cs="Arial"/>
          <w:b w:val="0"/>
          <w:bCs w:val="0"/>
          <w:color w:val="222222"/>
          <w:szCs w:val="24"/>
          <w:lang w:val="es-ES"/>
        </w:rPr>
        <w:t xml:space="preserve"> y </w:t>
      </w:r>
      <w:r w:rsidR="00A12282">
        <w:rPr>
          <w:rStyle w:val="Strong"/>
          <w:rFonts w:ascii="Book Antiqua" w:hAnsi="Book Antiqua" w:cs="Arial"/>
          <w:b w:val="0"/>
          <w:bCs w:val="0"/>
          <w:color w:val="222222"/>
          <w:szCs w:val="24"/>
          <w:lang w:val="es-ES"/>
        </w:rPr>
        <w:t>STR, y organizaciones tales como la Organización Mundial de Turismo, el U.S.</w:t>
      </w:r>
      <w:r w:rsidR="002712AC">
        <w:rPr>
          <w:rStyle w:val="Strong"/>
          <w:rFonts w:ascii="Book Antiqua" w:hAnsi="Book Antiqua" w:cs="Arial"/>
          <w:b w:val="0"/>
          <w:bCs w:val="0"/>
          <w:color w:val="222222"/>
          <w:szCs w:val="24"/>
          <w:lang w:val="es-ES"/>
        </w:rPr>
        <w:t xml:space="preserve"> </w:t>
      </w:r>
      <w:proofErr w:type="spellStart"/>
      <w:r w:rsidR="00A12282">
        <w:rPr>
          <w:rStyle w:val="Strong"/>
          <w:rFonts w:ascii="Book Antiqua" w:hAnsi="Book Antiqua" w:cs="Arial"/>
          <w:b w:val="0"/>
          <w:bCs w:val="0"/>
          <w:color w:val="222222"/>
          <w:szCs w:val="24"/>
          <w:lang w:val="es-ES"/>
        </w:rPr>
        <w:t>Travel</w:t>
      </w:r>
      <w:proofErr w:type="spellEnd"/>
      <w:r w:rsidR="00A12282">
        <w:rPr>
          <w:rStyle w:val="Strong"/>
          <w:rFonts w:ascii="Book Antiqua" w:hAnsi="Book Antiqua" w:cs="Arial"/>
          <w:b w:val="0"/>
          <w:bCs w:val="0"/>
          <w:color w:val="222222"/>
          <w:szCs w:val="24"/>
          <w:lang w:val="es-ES"/>
        </w:rPr>
        <w:t xml:space="preserve"> </w:t>
      </w:r>
      <w:proofErr w:type="spellStart"/>
      <w:r w:rsidR="00A12282">
        <w:rPr>
          <w:rStyle w:val="Strong"/>
          <w:rFonts w:ascii="Book Antiqua" w:hAnsi="Book Antiqua" w:cs="Arial"/>
          <w:b w:val="0"/>
          <w:bCs w:val="0"/>
          <w:color w:val="222222"/>
          <w:szCs w:val="24"/>
          <w:lang w:val="es-ES"/>
        </w:rPr>
        <w:t>Association</w:t>
      </w:r>
      <w:proofErr w:type="spellEnd"/>
      <w:r w:rsidR="00A12282">
        <w:rPr>
          <w:rStyle w:val="Strong"/>
          <w:rFonts w:ascii="Book Antiqua" w:hAnsi="Book Antiqua" w:cs="Arial"/>
          <w:b w:val="0"/>
          <w:bCs w:val="0"/>
          <w:color w:val="222222"/>
          <w:szCs w:val="24"/>
          <w:lang w:val="es-ES"/>
        </w:rPr>
        <w:t xml:space="preserve">, y el </w:t>
      </w:r>
      <w:proofErr w:type="spellStart"/>
      <w:r w:rsidR="00A12282">
        <w:rPr>
          <w:rStyle w:val="Strong"/>
          <w:rFonts w:ascii="Book Antiqua" w:hAnsi="Book Antiqua" w:cs="Arial"/>
          <w:b w:val="0"/>
          <w:bCs w:val="0"/>
          <w:color w:val="222222"/>
          <w:szCs w:val="24"/>
          <w:lang w:val="es-ES"/>
        </w:rPr>
        <w:t>World</w:t>
      </w:r>
      <w:proofErr w:type="spellEnd"/>
      <w:r w:rsidR="00A12282">
        <w:rPr>
          <w:rStyle w:val="Strong"/>
          <w:rFonts w:ascii="Book Antiqua" w:hAnsi="Book Antiqua" w:cs="Arial"/>
          <w:b w:val="0"/>
          <w:bCs w:val="0"/>
          <w:color w:val="222222"/>
          <w:szCs w:val="24"/>
          <w:lang w:val="es-ES"/>
        </w:rPr>
        <w:t xml:space="preserve"> </w:t>
      </w:r>
      <w:proofErr w:type="spellStart"/>
      <w:r w:rsidR="00A12282">
        <w:rPr>
          <w:rStyle w:val="Strong"/>
          <w:rFonts w:ascii="Book Antiqua" w:hAnsi="Book Antiqua" w:cs="Arial"/>
          <w:b w:val="0"/>
          <w:bCs w:val="0"/>
          <w:color w:val="222222"/>
          <w:szCs w:val="24"/>
          <w:lang w:val="es-ES"/>
        </w:rPr>
        <w:t>Travel</w:t>
      </w:r>
      <w:proofErr w:type="spellEnd"/>
      <w:r w:rsidR="00A12282">
        <w:rPr>
          <w:rStyle w:val="Strong"/>
          <w:rFonts w:ascii="Book Antiqua" w:hAnsi="Book Antiqua" w:cs="Arial"/>
          <w:b w:val="0"/>
          <w:bCs w:val="0"/>
          <w:color w:val="222222"/>
          <w:szCs w:val="24"/>
          <w:lang w:val="es-ES"/>
        </w:rPr>
        <w:t xml:space="preserve"> and </w:t>
      </w:r>
      <w:proofErr w:type="spellStart"/>
      <w:r w:rsidR="00A12282">
        <w:rPr>
          <w:rStyle w:val="Strong"/>
          <w:rFonts w:ascii="Book Antiqua" w:hAnsi="Book Antiqua" w:cs="Arial"/>
          <w:b w:val="0"/>
          <w:bCs w:val="0"/>
          <w:color w:val="222222"/>
          <w:szCs w:val="24"/>
          <w:lang w:val="es-ES"/>
        </w:rPr>
        <w:t>Tourism</w:t>
      </w:r>
      <w:proofErr w:type="spellEnd"/>
      <w:r w:rsidR="00A12282">
        <w:rPr>
          <w:rStyle w:val="Strong"/>
          <w:rFonts w:ascii="Book Antiqua" w:hAnsi="Book Antiqua" w:cs="Arial"/>
          <w:b w:val="0"/>
          <w:bCs w:val="0"/>
          <w:color w:val="222222"/>
          <w:szCs w:val="24"/>
          <w:lang w:val="es-ES"/>
        </w:rPr>
        <w:t xml:space="preserve"> Council, entre otros, nos indican que </w:t>
      </w:r>
      <w:r w:rsidR="002177C4">
        <w:rPr>
          <w:rStyle w:val="Strong"/>
          <w:rFonts w:ascii="Book Antiqua" w:hAnsi="Book Antiqua" w:cs="Arial"/>
          <w:b w:val="0"/>
          <w:bCs w:val="0"/>
          <w:color w:val="222222"/>
          <w:szCs w:val="24"/>
          <w:lang w:val="es-ES"/>
        </w:rPr>
        <w:t xml:space="preserve">señales de </w:t>
      </w:r>
      <w:r w:rsidR="00A12282">
        <w:rPr>
          <w:rStyle w:val="Strong"/>
          <w:rFonts w:ascii="Book Antiqua" w:hAnsi="Book Antiqua" w:cs="Arial"/>
          <w:b w:val="0"/>
          <w:bCs w:val="0"/>
          <w:color w:val="222222"/>
          <w:szCs w:val="24"/>
          <w:lang w:val="es-ES"/>
        </w:rPr>
        <w:t>recuperación en el sector turístico comenzara</w:t>
      </w:r>
      <w:r w:rsidR="002177C4">
        <w:rPr>
          <w:rStyle w:val="Strong"/>
          <w:rFonts w:ascii="Book Antiqua" w:hAnsi="Book Antiqua" w:cs="Arial"/>
          <w:b w:val="0"/>
          <w:bCs w:val="0"/>
          <w:color w:val="222222"/>
          <w:szCs w:val="24"/>
          <w:lang w:val="es-ES"/>
        </w:rPr>
        <w:t>n</w:t>
      </w:r>
      <w:r w:rsidR="00A12282">
        <w:rPr>
          <w:rStyle w:val="Strong"/>
          <w:rFonts w:ascii="Book Antiqua" w:hAnsi="Book Antiqua" w:cs="Arial"/>
          <w:b w:val="0"/>
          <w:bCs w:val="0"/>
          <w:color w:val="222222"/>
          <w:szCs w:val="24"/>
          <w:lang w:val="es-ES"/>
        </w:rPr>
        <w:t xml:space="preserve"> durante el cuarto trimestre del 2020.  </w:t>
      </w:r>
      <w:r w:rsidR="002177C4">
        <w:rPr>
          <w:rStyle w:val="Strong"/>
          <w:rFonts w:ascii="Book Antiqua" w:hAnsi="Book Antiqua" w:cs="Arial"/>
          <w:b w:val="0"/>
          <w:bCs w:val="0"/>
          <w:color w:val="222222"/>
          <w:szCs w:val="24"/>
          <w:lang w:val="es-ES"/>
        </w:rPr>
        <w:t>Esto repercute en falta de liquidez y flujo de efectivo a todas las industrias del sector turístico, incluyendo la industria hotelera</w:t>
      </w:r>
      <w:r w:rsidR="001F2499">
        <w:rPr>
          <w:rStyle w:val="Strong"/>
          <w:rFonts w:ascii="Book Antiqua" w:hAnsi="Book Antiqua" w:cs="Arial"/>
          <w:b w:val="0"/>
          <w:bCs w:val="0"/>
          <w:color w:val="222222"/>
          <w:szCs w:val="24"/>
          <w:lang w:val="es-ES"/>
        </w:rPr>
        <w:t xml:space="preserve"> durante los próximos meses. Esto incluye </w:t>
      </w:r>
      <w:r w:rsidR="00FD22A7">
        <w:rPr>
          <w:rStyle w:val="Strong"/>
          <w:rFonts w:ascii="Book Antiqua" w:hAnsi="Book Antiqua" w:cs="Arial"/>
          <w:b w:val="0"/>
          <w:bCs w:val="0"/>
          <w:color w:val="222222"/>
          <w:szCs w:val="24"/>
          <w:lang w:val="es-ES"/>
        </w:rPr>
        <w:t xml:space="preserve">no solo </w:t>
      </w:r>
      <w:r w:rsidR="001F2499">
        <w:rPr>
          <w:rStyle w:val="Strong"/>
          <w:rFonts w:ascii="Book Antiqua" w:hAnsi="Book Antiqua" w:cs="Arial"/>
          <w:b w:val="0"/>
          <w:bCs w:val="0"/>
          <w:color w:val="222222"/>
          <w:szCs w:val="24"/>
          <w:lang w:val="es-ES"/>
        </w:rPr>
        <w:t>a negocios que actualmente están operando</w:t>
      </w:r>
      <w:r w:rsidR="00FD22A7">
        <w:rPr>
          <w:rStyle w:val="Strong"/>
          <w:rFonts w:ascii="Book Antiqua" w:hAnsi="Book Antiqua" w:cs="Arial"/>
          <w:b w:val="0"/>
          <w:bCs w:val="0"/>
          <w:color w:val="222222"/>
          <w:szCs w:val="24"/>
          <w:lang w:val="es-ES"/>
        </w:rPr>
        <w:t xml:space="preserve">, sino también a </w:t>
      </w:r>
      <w:r w:rsidR="001F2499">
        <w:rPr>
          <w:rStyle w:val="Strong"/>
          <w:rFonts w:ascii="Book Antiqua" w:hAnsi="Book Antiqua" w:cs="Arial"/>
          <w:b w:val="0"/>
          <w:bCs w:val="0"/>
          <w:color w:val="222222"/>
          <w:szCs w:val="24"/>
          <w:lang w:val="es-ES"/>
        </w:rPr>
        <w:t xml:space="preserve">aquellos que han invertido capital y están en pleno desarrollo </w:t>
      </w:r>
      <w:r w:rsidR="00FD22A7">
        <w:rPr>
          <w:rStyle w:val="Strong"/>
          <w:rFonts w:ascii="Book Antiqua" w:hAnsi="Book Antiqua" w:cs="Arial"/>
          <w:b w:val="0"/>
          <w:bCs w:val="0"/>
          <w:color w:val="222222"/>
          <w:szCs w:val="24"/>
          <w:lang w:val="es-ES"/>
        </w:rPr>
        <w:t xml:space="preserve">y construcción </w:t>
      </w:r>
      <w:r w:rsidR="001F2499">
        <w:rPr>
          <w:rStyle w:val="Strong"/>
          <w:rFonts w:ascii="Book Antiqua" w:hAnsi="Book Antiqua" w:cs="Arial"/>
          <w:b w:val="0"/>
          <w:bCs w:val="0"/>
          <w:color w:val="222222"/>
          <w:szCs w:val="24"/>
          <w:lang w:val="es-ES"/>
        </w:rPr>
        <w:t xml:space="preserve">de sus activos turísticos.  </w:t>
      </w:r>
    </w:p>
    <w:p w14:paraId="69F6A4D4" w14:textId="77777777" w:rsidR="001F2499" w:rsidRDefault="001F2499" w:rsidP="007532BB">
      <w:pPr>
        <w:jc w:val="both"/>
        <w:rPr>
          <w:rStyle w:val="Strong"/>
          <w:rFonts w:ascii="Book Antiqua" w:hAnsi="Book Antiqua" w:cs="Arial"/>
          <w:b w:val="0"/>
          <w:bCs w:val="0"/>
          <w:color w:val="222222"/>
          <w:szCs w:val="24"/>
          <w:lang w:val="es-ES"/>
        </w:rPr>
      </w:pPr>
    </w:p>
    <w:p w14:paraId="28DFECDC" w14:textId="5989B6B3" w:rsidR="001F2499" w:rsidRDefault="001F2499" w:rsidP="002712AC">
      <w:pPr>
        <w:ind w:firstLine="567"/>
        <w:jc w:val="both"/>
        <w:rPr>
          <w:rStyle w:val="Strong"/>
          <w:rFonts w:ascii="Book Antiqua" w:hAnsi="Book Antiqua" w:cs="Arial"/>
          <w:b w:val="0"/>
          <w:bCs w:val="0"/>
          <w:color w:val="222222"/>
          <w:szCs w:val="24"/>
          <w:lang w:val="es-ES"/>
        </w:rPr>
      </w:pPr>
      <w:r>
        <w:rPr>
          <w:rStyle w:val="Strong"/>
          <w:rFonts w:ascii="Book Antiqua" w:hAnsi="Book Antiqua" w:cs="Arial"/>
          <w:b w:val="0"/>
          <w:bCs w:val="0"/>
          <w:color w:val="222222"/>
          <w:szCs w:val="24"/>
          <w:lang w:val="es-ES"/>
        </w:rPr>
        <w:t xml:space="preserve">Agilizar la emisión de las Concesiones de Beneficios Contributivos y Créditos Contributivos, entidades turísticas pueden acogerse a los beneficios </w:t>
      </w:r>
      <w:r w:rsidR="002712AC">
        <w:rPr>
          <w:rStyle w:val="Strong"/>
          <w:rFonts w:ascii="Book Antiqua" w:hAnsi="Book Antiqua" w:cs="Arial"/>
          <w:b w:val="0"/>
          <w:bCs w:val="0"/>
          <w:color w:val="222222"/>
          <w:szCs w:val="24"/>
          <w:lang w:val="es-ES"/>
        </w:rPr>
        <w:t xml:space="preserve">provistos por la Ley 74-2010 según enmendada, </w:t>
      </w:r>
      <w:r>
        <w:rPr>
          <w:rStyle w:val="Strong"/>
          <w:rFonts w:ascii="Book Antiqua" w:hAnsi="Book Antiqua" w:cs="Arial"/>
          <w:b w:val="0"/>
          <w:bCs w:val="0"/>
          <w:color w:val="222222"/>
          <w:szCs w:val="24"/>
          <w:lang w:val="es-ES"/>
        </w:rPr>
        <w:t xml:space="preserve">tales como exención de pago de impuestos sobre ingreso </w:t>
      </w:r>
      <w:r w:rsidR="002712AC">
        <w:rPr>
          <w:rStyle w:val="Strong"/>
          <w:rFonts w:ascii="Book Antiqua" w:hAnsi="Book Antiqua" w:cs="Arial"/>
          <w:b w:val="0"/>
          <w:bCs w:val="0"/>
          <w:color w:val="222222"/>
          <w:szCs w:val="24"/>
          <w:lang w:val="es-ES"/>
        </w:rPr>
        <w:t xml:space="preserve">y </w:t>
      </w:r>
      <w:r>
        <w:rPr>
          <w:rStyle w:val="Strong"/>
          <w:rFonts w:ascii="Book Antiqua" w:hAnsi="Book Antiqua" w:cs="Arial"/>
          <w:b w:val="0"/>
          <w:bCs w:val="0"/>
          <w:color w:val="222222"/>
          <w:szCs w:val="24"/>
          <w:lang w:val="es-ES"/>
        </w:rPr>
        <w:t>CRIM (</w:t>
      </w:r>
      <w:r w:rsidR="002712AC">
        <w:rPr>
          <w:rStyle w:val="Strong"/>
          <w:rFonts w:ascii="Book Antiqua" w:hAnsi="Book Antiqua" w:cs="Arial"/>
          <w:b w:val="0"/>
          <w:bCs w:val="0"/>
          <w:color w:val="222222"/>
          <w:szCs w:val="24"/>
          <w:lang w:val="es-ES"/>
        </w:rPr>
        <w:t xml:space="preserve">exención de </w:t>
      </w:r>
      <w:r>
        <w:rPr>
          <w:rStyle w:val="Strong"/>
          <w:rFonts w:ascii="Book Antiqua" w:hAnsi="Book Antiqua" w:cs="Arial"/>
          <w:b w:val="0"/>
          <w:bCs w:val="0"/>
          <w:color w:val="222222"/>
          <w:szCs w:val="24"/>
          <w:lang w:val="es-ES"/>
        </w:rPr>
        <w:t xml:space="preserve">90%), patente municipal (100%), entre otros.  Además, con el dinero que se genera a través de la venta de créditos contributivos, las entidades pueden </w:t>
      </w:r>
      <w:r w:rsidR="002712AC">
        <w:rPr>
          <w:rStyle w:val="Strong"/>
          <w:rFonts w:ascii="Book Antiqua" w:hAnsi="Book Antiqua" w:cs="Arial"/>
          <w:b w:val="0"/>
          <w:bCs w:val="0"/>
          <w:color w:val="222222"/>
          <w:szCs w:val="24"/>
          <w:lang w:val="es-ES"/>
        </w:rPr>
        <w:t xml:space="preserve">pagar el servicio de deuda, </w:t>
      </w:r>
      <w:r>
        <w:rPr>
          <w:rStyle w:val="Strong"/>
          <w:rFonts w:ascii="Book Antiqua" w:hAnsi="Book Antiqua" w:cs="Arial"/>
          <w:b w:val="0"/>
          <w:bCs w:val="0"/>
          <w:color w:val="222222"/>
          <w:szCs w:val="24"/>
          <w:lang w:val="es-ES"/>
        </w:rPr>
        <w:t>nomina, finalizar construcción</w:t>
      </w:r>
      <w:r w:rsidR="002712AC">
        <w:rPr>
          <w:rStyle w:val="Strong"/>
          <w:rFonts w:ascii="Book Antiqua" w:hAnsi="Book Antiqua" w:cs="Arial"/>
          <w:b w:val="0"/>
          <w:bCs w:val="0"/>
          <w:color w:val="222222"/>
          <w:szCs w:val="24"/>
          <w:lang w:val="es-ES"/>
        </w:rPr>
        <w:t xml:space="preserve"> de proyectos turísticos</w:t>
      </w:r>
      <w:r>
        <w:rPr>
          <w:rStyle w:val="Strong"/>
          <w:rFonts w:ascii="Book Antiqua" w:hAnsi="Book Antiqua" w:cs="Arial"/>
          <w:b w:val="0"/>
          <w:bCs w:val="0"/>
          <w:color w:val="222222"/>
          <w:szCs w:val="24"/>
          <w:lang w:val="es-ES"/>
        </w:rPr>
        <w:t xml:space="preserve">, </w:t>
      </w:r>
      <w:r w:rsidR="002712AC">
        <w:rPr>
          <w:rStyle w:val="Strong"/>
          <w:rFonts w:ascii="Book Antiqua" w:hAnsi="Book Antiqua" w:cs="Arial"/>
          <w:b w:val="0"/>
          <w:bCs w:val="0"/>
          <w:color w:val="222222"/>
          <w:szCs w:val="24"/>
          <w:lang w:val="es-ES"/>
        </w:rPr>
        <w:t>entre otros.</w:t>
      </w:r>
      <w:r>
        <w:rPr>
          <w:rStyle w:val="Strong"/>
          <w:rFonts w:ascii="Book Antiqua" w:hAnsi="Book Antiqua" w:cs="Arial"/>
          <w:b w:val="0"/>
          <w:bCs w:val="0"/>
          <w:color w:val="222222"/>
          <w:szCs w:val="24"/>
          <w:lang w:val="es-ES"/>
        </w:rPr>
        <w:t xml:space="preserve"> </w:t>
      </w:r>
    </w:p>
    <w:p w14:paraId="43DE8F27" w14:textId="77777777" w:rsidR="001F2499" w:rsidRDefault="001F2499" w:rsidP="007532BB">
      <w:pPr>
        <w:jc w:val="both"/>
        <w:rPr>
          <w:rStyle w:val="Strong"/>
          <w:rFonts w:ascii="Book Antiqua" w:hAnsi="Book Antiqua" w:cs="Arial"/>
          <w:b w:val="0"/>
          <w:bCs w:val="0"/>
          <w:color w:val="222222"/>
          <w:szCs w:val="24"/>
          <w:lang w:val="es-ES"/>
        </w:rPr>
      </w:pPr>
    </w:p>
    <w:p w14:paraId="50FE47EE" w14:textId="27176D6D" w:rsidR="002E03F7" w:rsidRPr="00F015DA" w:rsidRDefault="00F015DA" w:rsidP="00F015DA">
      <w:pPr>
        <w:ind w:firstLine="567"/>
        <w:jc w:val="both"/>
        <w:rPr>
          <w:rStyle w:val="Ninguno"/>
          <w:rFonts w:ascii="Book Antiqua" w:hAnsi="Book Antiqua"/>
          <w:lang w:val="es-419"/>
        </w:rPr>
      </w:pPr>
      <w:r>
        <w:rPr>
          <w:rStyle w:val="Strong"/>
          <w:rFonts w:ascii="Book Antiqua" w:hAnsi="Book Antiqua" w:cs="Arial"/>
          <w:b w:val="0"/>
          <w:bCs w:val="0"/>
          <w:color w:val="222222"/>
          <w:szCs w:val="24"/>
          <w:lang w:val="es-ES"/>
        </w:rPr>
        <w:t xml:space="preserve">Bajo </w:t>
      </w:r>
      <w:r w:rsidR="002712AC">
        <w:rPr>
          <w:rStyle w:val="Strong"/>
          <w:rFonts w:ascii="Book Antiqua" w:hAnsi="Book Antiqua" w:cs="Arial"/>
          <w:b w:val="0"/>
          <w:bCs w:val="0"/>
          <w:color w:val="222222"/>
          <w:szCs w:val="24"/>
          <w:lang w:val="es-ES"/>
        </w:rPr>
        <w:t>la Ley 74-2010 según enmendada</w:t>
      </w:r>
      <w:r w:rsidR="002A09BC">
        <w:rPr>
          <w:rStyle w:val="Strong"/>
          <w:rFonts w:ascii="Book Antiqua" w:hAnsi="Book Antiqua" w:cs="Arial"/>
          <w:b w:val="0"/>
          <w:bCs w:val="0"/>
          <w:color w:val="222222"/>
          <w:szCs w:val="24"/>
          <w:lang w:val="es-ES"/>
        </w:rPr>
        <w:t>,</w:t>
      </w:r>
      <w:r w:rsidR="002712AC">
        <w:rPr>
          <w:rStyle w:val="Strong"/>
          <w:rFonts w:ascii="Book Antiqua" w:hAnsi="Book Antiqua" w:cs="Arial"/>
          <w:b w:val="0"/>
          <w:bCs w:val="0"/>
          <w:color w:val="222222"/>
          <w:szCs w:val="24"/>
          <w:lang w:val="es-ES"/>
        </w:rPr>
        <w:t xml:space="preserve"> </w:t>
      </w:r>
      <w:r>
        <w:rPr>
          <w:rStyle w:val="Strong"/>
          <w:rFonts w:ascii="Book Antiqua" w:hAnsi="Book Antiqua" w:cs="Arial"/>
          <w:b w:val="0"/>
          <w:bCs w:val="0"/>
          <w:color w:val="222222"/>
          <w:szCs w:val="24"/>
          <w:lang w:val="es-ES"/>
        </w:rPr>
        <w:t>aquellas entidades que se acogieron a la alterna del cuarenta por</w:t>
      </w:r>
      <w:r w:rsidR="0084158D">
        <w:rPr>
          <w:rStyle w:val="Strong"/>
          <w:rFonts w:ascii="Book Antiqua" w:hAnsi="Book Antiqua" w:cs="Arial"/>
          <w:b w:val="0"/>
          <w:bCs w:val="0"/>
          <w:color w:val="222222"/>
          <w:szCs w:val="24"/>
          <w:lang w:val="es-ES"/>
        </w:rPr>
        <w:t xml:space="preserve"> </w:t>
      </w:r>
      <w:r>
        <w:rPr>
          <w:rStyle w:val="Strong"/>
          <w:rFonts w:ascii="Book Antiqua" w:hAnsi="Book Antiqua" w:cs="Arial"/>
          <w:b w:val="0"/>
          <w:bCs w:val="0"/>
          <w:color w:val="222222"/>
          <w:szCs w:val="24"/>
          <w:lang w:val="es-ES"/>
        </w:rPr>
        <w:t>ciento (40%) de créditos contributivos,</w:t>
      </w:r>
      <w:r w:rsidR="002A09BC">
        <w:rPr>
          <w:rStyle w:val="Strong"/>
          <w:rFonts w:ascii="Book Antiqua" w:hAnsi="Book Antiqua" w:cs="Arial"/>
          <w:b w:val="0"/>
          <w:bCs w:val="0"/>
          <w:color w:val="222222"/>
          <w:szCs w:val="24"/>
          <w:lang w:val="es-ES"/>
        </w:rPr>
        <w:t xml:space="preserve"> pueden vender </w:t>
      </w:r>
      <w:r w:rsidR="006D61A9">
        <w:rPr>
          <w:rStyle w:val="Strong"/>
          <w:rFonts w:ascii="Book Antiqua" w:hAnsi="Book Antiqua" w:cs="Arial"/>
          <w:b w:val="0"/>
          <w:bCs w:val="0"/>
          <w:color w:val="222222"/>
          <w:szCs w:val="24"/>
          <w:lang w:val="es-ES"/>
        </w:rPr>
        <w:t>el primer tercio de</w:t>
      </w:r>
      <w:r w:rsidR="00742AF7">
        <w:rPr>
          <w:rStyle w:val="Strong"/>
          <w:rFonts w:ascii="Book Antiqua" w:hAnsi="Book Antiqua" w:cs="Arial"/>
          <w:b w:val="0"/>
          <w:bCs w:val="0"/>
          <w:color w:val="222222"/>
          <w:szCs w:val="24"/>
          <w:lang w:val="es-ES"/>
        </w:rPr>
        <w:t xml:space="preserve">l costo total del proyecto establecido en la Concesión, </w:t>
      </w:r>
      <w:r w:rsidR="002A09BC">
        <w:rPr>
          <w:rStyle w:val="Strong"/>
          <w:rFonts w:ascii="Book Antiqua" w:hAnsi="Book Antiqua" w:cs="Arial"/>
          <w:b w:val="0"/>
          <w:bCs w:val="0"/>
          <w:color w:val="222222"/>
          <w:szCs w:val="24"/>
          <w:lang w:val="es-ES"/>
        </w:rPr>
        <w:t>durante el segundo a</w:t>
      </w:r>
      <w:r w:rsidR="00E35401">
        <w:rPr>
          <w:rFonts w:ascii="Book Antiqua" w:hAnsi="Book Antiqua"/>
          <w:lang w:val="es-ES_tradnl"/>
        </w:rPr>
        <w:t>ñ</w:t>
      </w:r>
      <w:r w:rsidR="002A09BC">
        <w:rPr>
          <w:rStyle w:val="Strong"/>
          <w:rFonts w:ascii="Book Antiqua" w:hAnsi="Book Antiqua" w:cs="Arial"/>
          <w:b w:val="0"/>
          <w:bCs w:val="0"/>
          <w:color w:val="222222"/>
          <w:szCs w:val="24"/>
          <w:lang w:val="es-ES"/>
        </w:rPr>
        <w:t xml:space="preserve">o luego de haber recibido al primer huésped. Además, el </w:t>
      </w:r>
      <w:proofErr w:type="spellStart"/>
      <w:r w:rsidR="002A09BC" w:rsidRPr="006247E5">
        <w:rPr>
          <w:rStyle w:val="Strong"/>
          <w:rFonts w:ascii="Book Antiqua" w:hAnsi="Book Antiqua" w:cs="Arial"/>
          <w:b w:val="0"/>
          <w:bCs w:val="0"/>
          <w:i/>
          <w:iCs/>
          <w:color w:val="222222"/>
          <w:szCs w:val="24"/>
          <w:lang w:val="es-ES"/>
        </w:rPr>
        <w:t>A</w:t>
      </w:r>
      <w:r w:rsidR="006247E5" w:rsidRPr="006247E5">
        <w:rPr>
          <w:rStyle w:val="Strong"/>
          <w:rFonts w:ascii="Book Antiqua" w:hAnsi="Book Antiqua" w:cs="Arial"/>
          <w:b w:val="0"/>
          <w:bCs w:val="0"/>
          <w:i/>
          <w:iCs/>
          <w:color w:val="222222"/>
          <w:szCs w:val="24"/>
          <w:lang w:val="es-ES"/>
        </w:rPr>
        <w:t>greed</w:t>
      </w:r>
      <w:r w:rsidR="009301B0">
        <w:rPr>
          <w:rStyle w:val="Strong"/>
          <w:rFonts w:ascii="Book Antiqua" w:hAnsi="Book Antiqua" w:cs="Arial"/>
          <w:b w:val="0"/>
          <w:bCs w:val="0"/>
          <w:i/>
          <w:iCs/>
          <w:color w:val="222222"/>
          <w:szCs w:val="24"/>
          <w:lang w:val="es-ES"/>
        </w:rPr>
        <w:t>-</w:t>
      </w:r>
      <w:r w:rsidR="002A09BC" w:rsidRPr="006247E5">
        <w:rPr>
          <w:rStyle w:val="Strong"/>
          <w:rFonts w:ascii="Book Antiqua" w:hAnsi="Book Antiqua" w:cs="Arial"/>
          <w:b w:val="0"/>
          <w:bCs w:val="0"/>
          <w:i/>
          <w:iCs/>
          <w:color w:val="222222"/>
          <w:szCs w:val="24"/>
          <w:lang w:val="es-ES"/>
        </w:rPr>
        <w:t>U</w:t>
      </w:r>
      <w:r w:rsidR="006247E5" w:rsidRPr="006247E5">
        <w:rPr>
          <w:rStyle w:val="Strong"/>
          <w:rFonts w:ascii="Book Antiqua" w:hAnsi="Book Antiqua" w:cs="Arial"/>
          <w:b w:val="0"/>
          <w:bCs w:val="0"/>
          <w:i/>
          <w:iCs/>
          <w:color w:val="222222"/>
          <w:szCs w:val="24"/>
          <w:lang w:val="es-ES"/>
        </w:rPr>
        <w:t>pon</w:t>
      </w:r>
      <w:proofErr w:type="spellEnd"/>
      <w:r w:rsidR="006247E5" w:rsidRPr="006247E5">
        <w:rPr>
          <w:rStyle w:val="Strong"/>
          <w:rFonts w:ascii="Book Antiqua" w:hAnsi="Book Antiqua" w:cs="Arial"/>
          <w:b w:val="0"/>
          <w:bCs w:val="0"/>
          <w:i/>
          <w:iCs/>
          <w:color w:val="222222"/>
          <w:szCs w:val="24"/>
          <w:lang w:val="es-ES"/>
        </w:rPr>
        <w:t xml:space="preserve"> </w:t>
      </w:r>
      <w:proofErr w:type="spellStart"/>
      <w:r w:rsidR="002A09BC" w:rsidRPr="006247E5">
        <w:rPr>
          <w:rStyle w:val="Strong"/>
          <w:rFonts w:ascii="Book Antiqua" w:hAnsi="Book Antiqua" w:cs="Arial"/>
          <w:b w:val="0"/>
          <w:bCs w:val="0"/>
          <w:i/>
          <w:iCs/>
          <w:color w:val="222222"/>
          <w:szCs w:val="24"/>
          <w:lang w:val="es-ES"/>
        </w:rPr>
        <w:t>P</w:t>
      </w:r>
      <w:r w:rsidR="006247E5" w:rsidRPr="006247E5">
        <w:rPr>
          <w:rStyle w:val="Strong"/>
          <w:rFonts w:ascii="Book Antiqua" w:hAnsi="Book Antiqua" w:cs="Arial"/>
          <w:b w:val="0"/>
          <w:bCs w:val="0"/>
          <w:i/>
          <w:iCs/>
          <w:color w:val="222222"/>
          <w:szCs w:val="24"/>
          <w:lang w:val="es-ES"/>
        </w:rPr>
        <w:t>rocedure</w:t>
      </w:r>
      <w:proofErr w:type="spellEnd"/>
      <w:r w:rsidR="006247E5">
        <w:rPr>
          <w:rStyle w:val="Strong"/>
          <w:rFonts w:ascii="Book Antiqua" w:hAnsi="Book Antiqua" w:cs="Arial"/>
          <w:b w:val="0"/>
          <w:bCs w:val="0"/>
          <w:color w:val="222222"/>
          <w:szCs w:val="24"/>
          <w:lang w:val="es-ES"/>
        </w:rPr>
        <w:t xml:space="preserve"> (AUP)</w:t>
      </w:r>
      <w:r w:rsidR="002A09BC">
        <w:rPr>
          <w:rStyle w:val="Strong"/>
          <w:rFonts w:ascii="Book Antiqua" w:hAnsi="Book Antiqua" w:cs="Arial"/>
          <w:b w:val="0"/>
          <w:bCs w:val="0"/>
          <w:color w:val="222222"/>
          <w:szCs w:val="24"/>
          <w:lang w:val="es-ES"/>
        </w:rPr>
        <w:t xml:space="preserve"> debe haberse entregado a, y aprobado por la </w:t>
      </w:r>
      <w:r w:rsidR="006247E5">
        <w:rPr>
          <w:rStyle w:val="Strong"/>
          <w:rFonts w:ascii="Book Antiqua" w:hAnsi="Book Antiqua" w:cs="Arial"/>
          <w:b w:val="0"/>
          <w:bCs w:val="0"/>
          <w:color w:val="222222"/>
          <w:szCs w:val="24"/>
          <w:lang w:val="es-ES"/>
        </w:rPr>
        <w:t>Compañía</w:t>
      </w:r>
      <w:r w:rsidR="002A09BC">
        <w:rPr>
          <w:rStyle w:val="Strong"/>
          <w:rFonts w:ascii="Book Antiqua" w:hAnsi="Book Antiqua" w:cs="Arial"/>
          <w:b w:val="0"/>
          <w:bCs w:val="0"/>
          <w:color w:val="222222"/>
          <w:szCs w:val="24"/>
          <w:lang w:val="es-ES"/>
        </w:rPr>
        <w:t xml:space="preserve"> de Turismo de Puerto Rico.</w:t>
      </w:r>
      <w:r w:rsidR="002A09BC">
        <w:rPr>
          <w:rFonts w:ascii="Book Antiqua" w:hAnsi="Book Antiqua"/>
          <w:lang w:val="es-419"/>
        </w:rPr>
        <w:t xml:space="preserve"> Esta Resolución Conjunta provee brindar oxígeno a dichas entidades para que puedan vender</w:t>
      </w:r>
      <w:r>
        <w:rPr>
          <w:rFonts w:ascii="Book Antiqua" w:hAnsi="Book Antiqua"/>
          <w:lang w:val="es-419"/>
        </w:rPr>
        <w:t>,</w:t>
      </w:r>
      <w:r w:rsidR="006247E5">
        <w:rPr>
          <w:rFonts w:ascii="Book Antiqua" w:hAnsi="Book Antiqua"/>
          <w:lang w:val="es-419"/>
        </w:rPr>
        <w:t xml:space="preserve"> antes de su segundo año de operación o durante construcción del proyecto turístico</w:t>
      </w:r>
      <w:r w:rsidR="002A09BC">
        <w:rPr>
          <w:rFonts w:ascii="Book Antiqua" w:hAnsi="Book Antiqua"/>
          <w:lang w:val="es-419"/>
        </w:rPr>
        <w:t>,</w:t>
      </w:r>
      <w:r>
        <w:rPr>
          <w:rFonts w:ascii="Book Antiqua" w:hAnsi="Book Antiqua"/>
          <w:lang w:val="es-419"/>
        </w:rPr>
        <w:t xml:space="preserve"> </w:t>
      </w:r>
      <w:r w:rsidR="002A09BC">
        <w:rPr>
          <w:rFonts w:ascii="Book Antiqua" w:hAnsi="Book Antiqua"/>
          <w:lang w:val="es-419"/>
        </w:rPr>
        <w:t xml:space="preserve">créditos </w:t>
      </w:r>
      <w:r>
        <w:rPr>
          <w:rFonts w:ascii="Book Antiqua" w:hAnsi="Book Antiqua"/>
          <w:lang w:val="es-419"/>
        </w:rPr>
        <w:t xml:space="preserve">contributivos </w:t>
      </w:r>
      <w:r w:rsidR="002A09BC">
        <w:rPr>
          <w:rFonts w:ascii="Book Antiqua" w:hAnsi="Book Antiqua"/>
          <w:lang w:val="es-419"/>
        </w:rPr>
        <w:t>de hasta diez por</w:t>
      </w:r>
      <w:r w:rsidR="0084158D">
        <w:rPr>
          <w:rFonts w:ascii="Book Antiqua" w:hAnsi="Book Antiqua"/>
          <w:lang w:val="es-419"/>
        </w:rPr>
        <w:t xml:space="preserve"> </w:t>
      </w:r>
      <w:r w:rsidR="002A09BC">
        <w:rPr>
          <w:rFonts w:ascii="Book Antiqua" w:hAnsi="Book Antiqua"/>
          <w:lang w:val="es-419"/>
        </w:rPr>
        <w:t>ciento (10%) del costo total del proyecto turístico</w:t>
      </w:r>
      <w:r w:rsidR="00742AF7">
        <w:rPr>
          <w:rFonts w:ascii="Book Antiqua" w:hAnsi="Book Antiqua"/>
          <w:lang w:val="es-419"/>
        </w:rPr>
        <w:t xml:space="preserve"> establecido en la Concesión</w:t>
      </w:r>
      <w:r w:rsidR="002A09BC">
        <w:rPr>
          <w:rFonts w:ascii="Book Antiqua" w:hAnsi="Book Antiqua"/>
          <w:lang w:val="es-419"/>
        </w:rPr>
        <w:t xml:space="preserve">, pero no mayor </w:t>
      </w:r>
      <w:r w:rsidR="00150906">
        <w:rPr>
          <w:rFonts w:ascii="Book Antiqua" w:hAnsi="Book Antiqua"/>
          <w:lang w:val="es-419"/>
        </w:rPr>
        <w:t>de</w:t>
      </w:r>
      <w:r w:rsidR="002A09BC">
        <w:rPr>
          <w:rFonts w:ascii="Book Antiqua" w:hAnsi="Book Antiqua"/>
          <w:lang w:val="es-419"/>
        </w:rPr>
        <w:t xml:space="preserve"> un (1) millón de dólares</w:t>
      </w:r>
      <w:r w:rsidR="006247E5">
        <w:rPr>
          <w:rFonts w:ascii="Book Antiqua" w:hAnsi="Book Antiqua"/>
          <w:lang w:val="es-419"/>
        </w:rPr>
        <w:t>.</w:t>
      </w:r>
      <w:r w:rsidR="002A09BC">
        <w:rPr>
          <w:rFonts w:ascii="Book Antiqua" w:hAnsi="Book Antiqua"/>
          <w:lang w:val="es-419"/>
        </w:rPr>
        <w:t xml:space="preserve">  </w:t>
      </w:r>
    </w:p>
    <w:p w14:paraId="461A68A0" w14:textId="77777777" w:rsidR="002E03F7" w:rsidRDefault="002E03F7" w:rsidP="001D7114">
      <w:pPr>
        <w:jc w:val="both"/>
        <w:rPr>
          <w:rStyle w:val="Ninguno"/>
          <w:rFonts w:ascii="Book Antiqua" w:hAnsi="Book Antiqua"/>
          <w:color w:val="222222"/>
          <w:szCs w:val="24"/>
          <w:u w:color="222222"/>
        </w:rPr>
      </w:pPr>
    </w:p>
    <w:p w14:paraId="11737861" w14:textId="17FBBF32" w:rsidR="001D7114" w:rsidRDefault="002E03F7" w:rsidP="001D7114">
      <w:pPr>
        <w:jc w:val="both"/>
        <w:rPr>
          <w:rStyle w:val="Ninguno"/>
          <w:rFonts w:ascii="Book Antiqua" w:hAnsi="Book Antiqua"/>
          <w:color w:val="222222"/>
          <w:szCs w:val="24"/>
          <w:u w:color="222222"/>
        </w:rPr>
      </w:pPr>
      <w:r>
        <w:rPr>
          <w:rStyle w:val="Ninguno"/>
          <w:rFonts w:ascii="Book Antiqua" w:hAnsi="Book Antiqua"/>
          <w:color w:val="222222"/>
          <w:szCs w:val="24"/>
          <w:u w:color="222222"/>
        </w:rPr>
        <w:lastRenderedPageBreak/>
        <w:tab/>
        <w:t>En consideración a lo antes expresado</w:t>
      </w:r>
      <w:r w:rsidR="005F4C35">
        <w:rPr>
          <w:rStyle w:val="Ninguno"/>
          <w:rFonts w:ascii="Book Antiqua" w:hAnsi="Book Antiqua"/>
          <w:color w:val="222222"/>
          <w:szCs w:val="24"/>
          <w:u w:color="222222"/>
        </w:rPr>
        <w:t>,</w:t>
      </w:r>
      <w:r>
        <w:rPr>
          <w:rStyle w:val="Ninguno"/>
          <w:rFonts w:ascii="Book Antiqua" w:hAnsi="Book Antiqua"/>
          <w:color w:val="222222"/>
          <w:szCs w:val="24"/>
          <w:u w:color="222222"/>
        </w:rPr>
        <w:t xml:space="preserve"> es el propósito de la presente medida que </w:t>
      </w:r>
      <w:r w:rsidR="00F015DA">
        <w:rPr>
          <w:rStyle w:val="Ninguno"/>
          <w:rFonts w:ascii="Book Antiqua" w:hAnsi="Book Antiqua"/>
          <w:color w:val="222222"/>
          <w:szCs w:val="24"/>
          <w:u w:color="222222"/>
        </w:rPr>
        <w:t xml:space="preserve">tanto </w:t>
      </w:r>
      <w:r>
        <w:rPr>
          <w:rStyle w:val="Ninguno"/>
          <w:rFonts w:ascii="Book Antiqua" w:hAnsi="Book Antiqua"/>
          <w:color w:val="222222"/>
          <w:szCs w:val="24"/>
          <w:u w:color="222222"/>
        </w:rPr>
        <w:t xml:space="preserve">el Departamento de </w:t>
      </w:r>
      <w:r w:rsidR="00F015DA">
        <w:rPr>
          <w:rStyle w:val="Ninguno"/>
          <w:rFonts w:ascii="Book Antiqua" w:hAnsi="Book Antiqua"/>
          <w:color w:val="222222"/>
          <w:szCs w:val="24"/>
          <w:u w:color="222222"/>
        </w:rPr>
        <w:t xml:space="preserve">Hacienda, como la </w:t>
      </w:r>
      <w:r w:rsidR="005F4C35">
        <w:rPr>
          <w:rStyle w:val="Ninguno"/>
          <w:rFonts w:ascii="Book Antiqua" w:hAnsi="Book Antiqua"/>
          <w:color w:val="222222"/>
          <w:szCs w:val="24"/>
          <w:u w:color="222222"/>
        </w:rPr>
        <w:t>Compañía</w:t>
      </w:r>
      <w:r w:rsidR="00F015DA">
        <w:rPr>
          <w:rStyle w:val="Ninguno"/>
          <w:rFonts w:ascii="Book Antiqua" w:hAnsi="Book Antiqua"/>
          <w:color w:val="222222"/>
          <w:szCs w:val="24"/>
          <w:u w:color="222222"/>
        </w:rPr>
        <w:t xml:space="preserve"> de Turismo de Puerto Rico</w:t>
      </w:r>
      <w:r>
        <w:rPr>
          <w:rStyle w:val="Ninguno"/>
          <w:rFonts w:ascii="Book Antiqua" w:hAnsi="Book Antiqua"/>
          <w:color w:val="222222"/>
          <w:szCs w:val="24"/>
          <w:u w:color="222222"/>
        </w:rPr>
        <w:t xml:space="preserve"> realice</w:t>
      </w:r>
      <w:r w:rsidR="00F015DA">
        <w:rPr>
          <w:rStyle w:val="Ninguno"/>
          <w:rFonts w:ascii="Book Antiqua" w:hAnsi="Book Antiqua"/>
          <w:color w:val="222222"/>
          <w:szCs w:val="24"/>
          <w:u w:color="222222"/>
        </w:rPr>
        <w:t>n</w:t>
      </w:r>
      <w:r>
        <w:rPr>
          <w:rStyle w:val="Ninguno"/>
          <w:rFonts w:ascii="Book Antiqua" w:hAnsi="Book Antiqua"/>
          <w:color w:val="222222"/>
          <w:szCs w:val="24"/>
          <w:u w:color="222222"/>
        </w:rPr>
        <w:t xml:space="preserve"> las gestiones necesarias</w:t>
      </w:r>
      <w:r w:rsidR="00F015DA">
        <w:rPr>
          <w:rStyle w:val="Ninguno"/>
          <w:rFonts w:ascii="Book Antiqua" w:hAnsi="Book Antiqua"/>
          <w:color w:val="222222"/>
          <w:szCs w:val="24"/>
          <w:u w:color="222222"/>
        </w:rPr>
        <w:t xml:space="preserve"> y agilicen la aprobación y emisión de Concesiones de Exención Contributivas y </w:t>
      </w:r>
      <w:r w:rsidR="005F4C35">
        <w:rPr>
          <w:rStyle w:val="Ninguno"/>
          <w:rFonts w:ascii="Book Antiqua" w:hAnsi="Book Antiqua"/>
          <w:color w:val="222222"/>
          <w:szCs w:val="24"/>
          <w:u w:color="222222"/>
        </w:rPr>
        <w:t>Créditos</w:t>
      </w:r>
      <w:r w:rsidR="00F015DA">
        <w:rPr>
          <w:rStyle w:val="Ninguno"/>
          <w:rFonts w:ascii="Book Antiqua" w:hAnsi="Book Antiqua"/>
          <w:color w:val="222222"/>
          <w:szCs w:val="24"/>
          <w:u w:color="222222"/>
        </w:rPr>
        <w:t xml:space="preserve"> Contributivos para </w:t>
      </w:r>
      <w:r w:rsidR="005F4C35">
        <w:rPr>
          <w:rStyle w:val="Ninguno"/>
          <w:rFonts w:ascii="Book Antiqua" w:hAnsi="Book Antiqua"/>
          <w:color w:val="222222"/>
          <w:szCs w:val="24"/>
          <w:u w:color="222222"/>
        </w:rPr>
        <w:t>ayudar</w:t>
      </w:r>
      <w:r w:rsidR="00F015DA">
        <w:rPr>
          <w:rStyle w:val="Ninguno"/>
          <w:rFonts w:ascii="Book Antiqua" w:hAnsi="Book Antiqua"/>
          <w:color w:val="222222"/>
          <w:szCs w:val="24"/>
          <w:u w:color="222222"/>
        </w:rPr>
        <w:t xml:space="preserve"> </w:t>
      </w:r>
      <w:r w:rsidR="005F4C35">
        <w:rPr>
          <w:rStyle w:val="Ninguno"/>
          <w:rFonts w:ascii="Book Antiqua" w:hAnsi="Book Antiqua"/>
          <w:color w:val="222222"/>
          <w:szCs w:val="24"/>
          <w:u w:color="222222"/>
        </w:rPr>
        <w:t xml:space="preserve">en la recuperación de </w:t>
      </w:r>
      <w:r w:rsidR="00F015DA">
        <w:rPr>
          <w:rStyle w:val="Ninguno"/>
          <w:rFonts w:ascii="Book Antiqua" w:hAnsi="Book Antiqua"/>
          <w:color w:val="222222"/>
          <w:szCs w:val="24"/>
          <w:u w:color="222222"/>
        </w:rPr>
        <w:t xml:space="preserve">entidades que pertenecen a uno de los sectores </w:t>
      </w:r>
      <w:r w:rsidR="005F4C35">
        <w:rPr>
          <w:rStyle w:val="Ninguno"/>
          <w:rFonts w:ascii="Book Antiqua" w:hAnsi="Book Antiqua"/>
          <w:color w:val="222222"/>
          <w:szCs w:val="24"/>
          <w:u w:color="222222"/>
        </w:rPr>
        <w:t>más</w:t>
      </w:r>
      <w:r w:rsidR="00F015DA">
        <w:rPr>
          <w:rStyle w:val="Ninguno"/>
          <w:rFonts w:ascii="Book Antiqua" w:hAnsi="Book Antiqua"/>
          <w:color w:val="222222"/>
          <w:szCs w:val="24"/>
          <w:u w:color="222222"/>
        </w:rPr>
        <w:t xml:space="preserve"> afectados por la pandemia del COVID-19</w:t>
      </w:r>
      <w:r w:rsidR="005F4C35">
        <w:rPr>
          <w:rStyle w:val="Ninguno"/>
          <w:rFonts w:ascii="Book Antiqua" w:hAnsi="Book Antiqua"/>
          <w:color w:val="222222"/>
          <w:szCs w:val="24"/>
          <w:u w:color="222222"/>
        </w:rPr>
        <w:t>.</w:t>
      </w:r>
      <w:r w:rsidR="00E35401">
        <w:rPr>
          <w:rStyle w:val="Ninguno"/>
          <w:rFonts w:ascii="Book Antiqua" w:hAnsi="Book Antiqua"/>
          <w:color w:val="222222"/>
          <w:szCs w:val="24"/>
          <w:u w:color="222222"/>
        </w:rPr>
        <w:t xml:space="preserve">  </w:t>
      </w:r>
      <w:r w:rsidR="00150906">
        <w:rPr>
          <w:rStyle w:val="Ninguno"/>
          <w:rFonts w:ascii="Book Antiqua" w:hAnsi="Book Antiqua"/>
          <w:color w:val="222222"/>
          <w:szCs w:val="24"/>
          <w:u w:color="222222"/>
        </w:rPr>
        <w:t xml:space="preserve">Esta Resolución Conjunta es, además de ejemplo del compromiso de esta Asamblea Legislativa para con el sector turístico, una </w:t>
      </w:r>
      <w:r w:rsidR="00095EA4">
        <w:rPr>
          <w:rStyle w:val="Ninguno"/>
          <w:rFonts w:ascii="Book Antiqua" w:hAnsi="Book Antiqua"/>
          <w:color w:val="222222"/>
          <w:szCs w:val="24"/>
          <w:u w:color="222222"/>
        </w:rPr>
        <w:t>reafirmación</w:t>
      </w:r>
      <w:r w:rsidR="00150906">
        <w:rPr>
          <w:rStyle w:val="Ninguno"/>
          <w:rFonts w:ascii="Book Antiqua" w:hAnsi="Book Antiqua"/>
          <w:color w:val="222222"/>
          <w:szCs w:val="24"/>
          <w:u w:color="222222"/>
        </w:rPr>
        <w:t xml:space="preserve"> </w:t>
      </w:r>
      <w:r w:rsidR="00095EA4">
        <w:rPr>
          <w:rStyle w:val="Ninguno"/>
          <w:rFonts w:ascii="Book Antiqua" w:hAnsi="Book Antiqua"/>
          <w:color w:val="222222"/>
          <w:szCs w:val="24"/>
          <w:u w:color="222222"/>
        </w:rPr>
        <w:t>de</w:t>
      </w:r>
      <w:r w:rsidR="00150906">
        <w:rPr>
          <w:rStyle w:val="Ninguno"/>
          <w:rFonts w:ascii="Book Antiqua" w:hAnsi="Book Antiqua"/>
          <w:color w:val="222222"/>
          <w:szCs w:val="24"/>
          <w:u w:color="222222"/>
        </w:rPr>
        <w:t xml:space="preserve"> que dicho sector es pilar de desarrollo económico para Puerto Rico. </w:t>
      </w:r>
    </w:p>
    <w:p w14:paraId="648731AB" w14:textId="77777777" w:rsidR="00150906" w:rsidRPr="00DF4BAC" w:rsidRDefault="00150906" w:rsidP="001D7114">
      <w:pPr>
        <w:jc w:val="both"/>
        <w:rPr>
          <w:rStyle w:val="Ninguno"/>
          <w:rFonts w:ascii="Book Antiqua" w:hAnsi="Book Antiqua"/>
        </w:rPr>
      </w:pPr>
    </w:p>
    <w:p w14:paraId="15DDD4B8" w14:textId="77777777" w:rsidR="002E03F7" w:rsidRDefault="002E03F7" w:rsidP="001D7114">
      <w:pPr>
        <w:spacing w:line="480" w:lineRule="auto"/>
        <w:rPr>
          <w:rFonts w:ascii="Book Antiqua" w:hAnsi="Book Antiqua"/>
          <w:i/>
          <w:lang w:val="es-ES_tradnl"/>
        </w:rPr>
      </w:pPr>
      <w:r>
        <w:rPr>
          <w:rFonts w:ascii="Book Antiqua" w:hAnsi="Book Antiqua"/>
          <w:i/>
          <w:lang w:val="es-ES_tradnl"/>
        </w:rPr>
        <w:t>RESUÉLVESE POR LA ASAMBLEA LEGISLATIVA DE PUERTO RICO:</w:t>
      </w:r>
    </w:p>
    <w:p w14:paraId="7A364226" w14:textId="77777777" w:rsidR="002E03F7" w:rsidRDefault="002E03F7" w:rsidP="002E03F7">
      <w:pPr>
        <w:spacing w:line="480" w:lineRule="auto"/>
        <w:jc w:val="both"/>
        <w:rPr>
          <w:rFonts w:ascii="Book Antiqua" w:hAnsi="Book Antiqua"/>
          <w:lang w:val="es-ES_tradnl"/>
        </w:rPr>
        <w:sectPr w:rsidR="002E03F7">
          <w:headerReference w:type="default" r:id="rId7"/>
          <w:type w:val="continuous"/>
          <w:pgSz w:w="12240" w:h="15840" w:code="1"/>
          <w:pgMar w:top="1440" w:right="1440" w:bottom="1440" w:left="1440" w:header="720" w:footer="720" w:gutter="0"/>
          <w:cols w:space="720"/>
          <w:titlePg/>
        </w:sectPr>
      </w:pPr>
    </w:p>
    <w:p w14:paraId="0E94AB90" w14:textId="08C47541" w:rsidR="002E03F7" w:rsidRDefault="002E03F7" w:rsidP="002E03F7">
      <w:pPr>
        <w:spacing w:line="480" w:lineRule="auto"/>
        <w:ind w:firstLine="720"/>
        <w:jc w:val="both"/>
        <w:rPr>
          <w:rFonts w:ascii="Book Antiqua" w:hAnsi="Book Antiqua"/>
          <w:lang w:val="es-ES_tradnl"/>
        </w:rPr>
      </w:pPr>
      <w:r w:rsidRPr="00CE5663">
        <w:rPr>
          <w:rFonts w:ascii="Book Antiqua" w:hAnsi="Book Antiqua"/>
          <w:lang w:val="es-ES_tradnl"/>
        </w:rPr>
        <w:lastRenderedPageBreak/>
        <w:t>Sección 1.-Se</w:t>
      </w:r>
      <w:r>
        <w:rPr>
          <w:rFonts w:ascii="Book Antiqua" w:hAnsi="Book Antiqua"/>
          <w:lang w:val="es-ES_tradnl"/>
        </w:rPr>
        <w:t xml:space="preserve"> ordena al Departamento de </w:t>
      </w:r>
      <w:r w:rsidR="005F4C35">
        <w:rPr>
          <w:rFonts w:ascii="Book Antiqua" w:hAnsi="Book Antiqua"/>
          <w:lang w:val="es-ES_tradnl"/>
        </w:rPr>
        <w:t>Hacienda a</w:t>
      </w:r>
      <w:r>
        <w:rPr>
          <w:rFonts w:ascii="Book Antiqua" w:hAnsi="Book Antiqua"/>
          <w:lang w:val="es-ES_tradnl"/>
        </w:rPr>
        <w:t xml:space="preserve"> que</w:t>
      </w:r>
      <w:r w:rsidR="005F4C35">
        <w:rPr>
          <w:rFonts w:ascii="Book Antiqua" w:hAnsi="Book Antiqua"/>
          <w:lang w:val="es-ES_tradnl"/>
        </w:rPr>
        <w:t xml:space="preserve">, en un periodo no mayor de veinte (20) días contados </w:t>
      </w:r>
      <w:r w:rsidR="001A0919">
        <w:rPr>
          <w:rFonts w:ascii="Book Antiqua" w:hAnsi="Book Antiqua"/>
          <w:lang w:val="es-ES_tradnl"/>
        </w:rPr>
        <w:t xml:space="preserve">a partir de la vigencia de la presente Resolución Conjunta, se aprueben las solicitudes de Concesión de Exención Contributiva y Créditos Contributivos </w:t>
      </w:r>
      <w:r w:rsidR="00284A08">
        <w:rPr>
          <w:rFonts w:ascii="Book Antiqua" w:hAnsi="Book Antiqua"/>
          <w:lang w:val="es-ES_tradnl"/>
        </w:rPr>
        <w:t xml:space="preserve">bajo la Ley 74-2010, según enmendada, </w:t>
      </w:r>
      <w:r w:rsidR="001A0919">
        <w:rPr>
          <w:rFonts w:ascii="Book Antiqua" w:hAnsi="Book Antiqua"/>
          <w:lang w:val="es-ES_tradnl"/>
        </w:rPr>
        <w:t xml:space="preserve">de toda entidad que haya radicado </w:t>
      </w:r>
      <w:r w:rsidR="00284A08">
        <w:rPr>
          <w:rFonts w:ascii="Book Antiqua" w:hAnsi="Book Antiqua"/>
          <w:lang w:val="es-ES_tradnl"/>
        </w:rPr>
        <w:t xml:space="preserve">dicha solicitud </w:t>
      </w:r>
      <w:r w:rsidR="001A0919">
        <w:rPr>
          <w:rFonts w:ascii="Book Antiqua" w:hAnsi="Book Antiqua"/>
          <w:lang w:val="es-ES_tradnl"/>
        </w:rPr>
        <w:t xml:space="preserve">ante el Departamento de Hacienda y la Compañía de Turismo de Puerto Rico, siempre y cuando la entidad solicitante haya sometido todos los documentos requeridos y esté en cumplimiento con el reglamento establecido bajo dicha Ley. </w:t>
      </w:r>
    </w:p>
    <w:p w14:paraId="10FAF1AE" w14:textId="77777777" w:rsidR="00284A08" w:rsidRDefault="001D7114" w:rsidP="002E03F7">
      <w:pPr>
        <w:spacing w:line="480" w:lineRule="auto"/>
        <w:ind w:firstLine="720"/>
        <w:jc w:val="both"/>
        <w:rPr>
          <w:rFonts w:ascii="Book Antiqua" w:hAnsi="Book Antiqua"/>
          <w:lang w:val="es-ES_tradnl"/>
        </w:rPr>
      </w:pPr>
      <w:r>
        <w:rPr>
          <w:rFonts w:ascii="Book Antiqua" w:hAnsi="Book Antiqua"/>
          <w:lang w:val="es-ES_tradnl"/>
        </w:rPr>
        <w:t>Sección 2.-</w:t>
      </w:r>
      <w:r w:rsidR="002E03F7">
        <w:rPr>
          <w:rFonts w:ascii="Book Antiqua" w:hAnsi="Book Antiqua"/>
          <w:lang w:val="es-ES_tradnl"/>
        </w:rPr>
        <w:t>Se ordena a</w:t>
      </w:r>
      <w:r w:rsidR="00FD22A7">
        <w:rPr>
          <w:rFonts w:ascii="Book Antiqua" w:hAnsi="Book Antiqua"/>
          <w:lang w:val="es-ES_tradnl"/>
        </w:rPr>
        <w:t xml:space="preserve"> </w:t>
      </w:r>
      <w:r w:rsidR="002E03F7">
        <w:rPr>
          <w:rFonts w:ascii="Book Antiqua" w:hAnsi="Book Antiqua"/>
          <w:lang w:val="es-ES_tradnl"/>
        </w:rPr>
        <w:t>l</w:t>
      </w:r>
      <w:r w:rsidR="00FD22A7">
        <w:rPr>
          <w:rFonts w:ascii="Book Antiqua" w:hAnsi="Book Antiqua"/>
          <w:lang w:val="es-ES_tradnl"/>
        </w:rPr>
        <w:t>a Compañía de Turismo de Puerto Rico a que, en un periodo no mayor de veinte (20) días contados luego de recibir la aprobación de solicitud de la Concesión de Exención Contributiva y Créditos Contributivos de parte del Departamento de Hacienda</w:t>
      </w:r>
      <w:r w:rsidR="00284A08">
        <w:rPr>
          <w:rFonts w:ascii="Book Antiqua" w:hAnsi="Book Antiqua"/>
          <w:lang w:val="es-ES_tradnl"/>
        </w:rPr>
        <w:t>,</w:t>
      </w:r>
      <w:r w:rsidR="00FD22A7">
        <w:rPr>
          <w:rFonts w:ascii="Book Antiqua" w:hAnsi="Book Antiqua"/>
          <w:lang w:val="es-ES_tradnl"/>
        </w:rPr>
        <w:t xml:space="preserve"> </w:t>
      </w:r>
      <w:r w:rsidR="00284A08">
        <w:rPr>
          <w:rFonts w:ascii="Book Antiqua" w:hAnsi="Book Antiqua"/>
          <w:lang w:val="es-ES_tradnl"/>
        </w:rPr>
        <w:t>emita la Concesión de Exención Contributiva y Créditos Contributivo de Ley 74-2010, según enmendada.</w:t>
      </w:r>
    </w:p>
    <w:p w14:paraId="4105CB48" w14:textId="6B623E8B" w:rsidR="0000202E" w:rsidRDefault="00284A08" w:rsidP="0000202E">
      <w:pPr>
        <w:spacing w:line="480" w:lineRule="auto"/>
        <w:ind w:firstLine="720"/>
        <w:jc w:val="both"/>
        <w:rPr>
          <w:rFonts w:ascii="Book Antiqua" w:hAnsi="Book Antiqua"/>
          <w:lang w:val="es-ES_tradnl"/>
        </w:rPr>
      </w:pPr>
      <w:r>
        <w:rPr>
          <w:rFonts w:ascii="Book Antiqua" w:hAnsi="Book Antiqua"/>
          <w:lang w:val="es-ES_tradnl"/>
        </w:rPr>
        <w:t xml:space="preserve">Sección 3.-Se ordena a la </w:t>
      </w:r>
      <w:r w:rsidR="009301B0">
        <w:rPr>
          <w:rFonts w:ascii="Book Antiqua" w:hAnsi="Book Antiqua"/>
          <w:lang w:val="es-ES_tradnl"/>
        </w:rPr>
        <w:t>Compañía</w:t>
      </w:r>
      <w:r>
        <w:rPr>
          <w:rFonts w:ascii="Book Antiqua" w:hAnsi="Book Antiqua"/>
          <w:lang w:val="es-ES_tradnl"/>
        </w:rPr>
        <w:t xml:space="preserve"> de Turismo de Puerto Rico </w:t>
      </w:r>
      <w:r w:rsidR="009301B0">
        <w:rPr>
          <w:rFonts w:ascii="Book Antiqua" w:hAnsi="Book Antiqua"/>
          <w:lang w:val="es-ES_tradnl"/>
        </w:rPr>
        <w:t xml:space="preserve">a que, en un periodo no mayor de veinte (20) días contados luego de </w:t>
      </w:r>
      <w:r w:rsidR="00D673F2">
        <w:rPr>
          <w:rFonts w:ascii="Book Antiqua" w:hAnsi="Book Antiqua"/>
          <w:lang w:val="es-ES_tradnl"/>
        </w:rPr>
        <w:t xml:space="preserve">haber </w:t>
      </w:r>
      <w:r w:rsidR="009301B0">
        <w:rPr>
          <w:rFonts w:ascii="Book Antiqua" w:hAnsi="Book Antiqua"/>
          <w:lang w:val="es-ES_tradnl"/>
        </w:rPr>
        <w:t>recibi</w:t>
      </w:r>
      <w:r w:rsidR="00D673F2">
        <w:rPr>
          <w:rFonts w:ascii="Book Antiqua" w:hAnsi="Book Antiqua"/>
          <w:lang w:val="es-ES_tradnl"/>
        </w:rPr>
        <w:t>do</w:t>
      </w:r>
      <w:r w:rsidR="009301B0">
        <w:rPr>
          <w:rFonts w:ascii="Book Antiqua" w:hAnsi="Book Antiqua"/>
          <w:lang w:val="es-ES_tradnl"/>
        </w:rPr>
        <w:t xml:space="preserve"> el </w:t>
      </w:r>
      <w:proofErr w:type="spellStart"/>
      <w:r w:rsidR="009301B0" w:rsidRPr="009301B0">
        <w:rPr>
          <w:rFonts w:ascii="Book Antiqua" w:hAnsi="Book Antiqua"/>
          <w:i/>
          <w:iCs/>
          <w:lang w:val="es-ES_tradnl"/>
        </w:rPr>
        <w:t>Agreed</w:t>
      </w:r>
      <w:r w:rsidR="009301B0">
        <w:rPr>
          <w:rFonts w:ascii="Book Antiqua" w:hAnsi="Book Antiqua"/>
          <w:i/>
          <w:iCs/>
          <w:lang w:val="es-ES_tradnl"/>
        </w:rPr>
        <w:t>-</w:t>
      </w:r>
      <w:r w:rsidR="009301B0" w:rsidRPr="009301B0">
        <w:rPr>
          <w:rFonts w:ascii="Book Antiqua" w:hAnsi="Book Antiqua"/>
          <w:i/>
          <w:iCs/>
          <w:lang w:val="es-ES_tradnl"/>
        </w:rPr>
        <w:t>Upon</w:t>
      </w:r>
      <w:proofErr w:type="spellEnd"/>
      <w:r w:rsidR="009301B0" w:rsidRPr="009301B0">
        <w:rPr>
          <w:rFonts w:ascii="Book Antiqua" w:hAnsi="Book Antiqua"/>
          <w:i/>
          <w:iCs/>
          <w:lang w:val="es-ES_tradnl"/>
        </w:rPr>
        <w:t xml:space="preserve"> </w:t>
      </w:r>
      <w:proofErr w:type="spellStart"/>
      <w:r w:rsidR="009301B0" w:rsidRPr="009301B0">
        <w:rPr>
          <w:rFonts w:ascii="Book Antiqua" w:hAnsi="Book Antiqua"/>
          <w:i/>
          <w:iCs/>
          <w:lang w:val="es-ES_tradnl"/>
        </w:rPr>
        <w:t>Procedure</w:t>
      </w:r>
      <w:proofErr w:type="spellEnd"/>
      <w:r w:rsidR="009301B0" w:rsidRPr="009301B0">
        <w:rPr>
          <w:rFonts w:ascii="Book Antiqua" w:hAnsi="Book Antiqua"/>
          <w:i/>
          <w:iCs/>
          <w:lang w:val="es-ES_tradnl"/>
        </w:rPr>
        <w:t xml:space="preserve"> </w:t>
      </w:r>
      <w:r w:rsidR="009301B0" w:rsidRPr="009301B0">
        <w:rPr>
          <w:rFonts w:ascii="Book Antiqua" w:hAnsi="Book Antiqua"/>
          <w:lang w:val="es-ES_tradnl"/>
        </w:rPr>
        <w:t>(AUP)</w:t>
      </w:r>
      <w:r w:rsidR="009301B0">
        <w:rPr>
          <w:rFonts w:ascii="Book Antiqua" w:hAnsi="Book Antiqua"/>
          <w:i/>
          <w:iCs/>
          <w:lang w:val="es-ES_tradnl"/>
        </w:rPr>
        <w:t xml:space="preserve"> </w:t>
      </w:r>
      <w:r w:rsidR="009301B0">
        <w:rPr>
          <w:rFonts w:ascii="Book Antiqua" w:hAnsi="Book Antiqua"/>
          <w:lang w:val="es-ES_tradnl"/>
        </w:rPr>
        <w:t xml:space="preserve">de la entidad exenta, se emita a dicha entidad la Concesión de Exención Contributiva y Créditos Contributivos debidamente enmendada. </w:t>
      </w:r>
    </w:p>
    <w:p w14:paraId="776F6064" w14:textId="773F9CCB" w:rsidR="0000202E" w:rsidRPr="00D673F2" w:rsidRDefault="0000202E" w:rsidP="00D673F2">
      <w:pPr>
        <w:spacing w:line="480" w:lineRule="auto"/>
        <w:ind w:firstLine="720"/>
        <w:jc w:val="both"/>
        <w:rPr>
          <w:rFonts w:ascii="Book Antiqua" w:hAnsi="Book Antiqua"/>
          <w:lang w:val="es-ES_tradnl"/>
        </w:rPr>
      </w:pPr>
      <w:r>
        <w:rPr>
          <w:rFonts w:ascii="Book Antiqua" w:hAnsi="Book Antiqua"/>
          <w:lang w:val="es-ES_tradnl"/>
        </w:rPr>
        <w:lastRenderedPageBreak/>
        <w:t>Sección 4.-Se ordena al Departamento de Hacienda y a la Compañía de Turismo permitir la venta de créditos contributivos equivalentes al diez por</w:t>
      </w:r>
      <w:r w:rsidR="0084158D">
        <w:rPr>
          <w:rFonts w:ascii="Book Antiqua" w:hAnsi="Book Antiqua"/>
          <w:lang w:val="es-ES_tradnl"/>
        </w:rPr>
        <w:t xml:space="preserve"> </w:t>
      </w:r>
      <w:r>
        <w:rPr>
          <w:rFonts w:ascii="Book Antiqua" w:hAnsi="Book Antiqua"/>
          <w:lang w:val="es-ES_tradnl"/>
        </w:rPr>
        <w:t>ciento (10%) del costo total del proyecto</w:t>
      </w:r>
      <w:r w:rsidR="00742AF7">
        <w:rPr>
          <w:rFonts w:ascii="Book Antiqua" w:hAnsi="Book Antiqua"/>
          <w:lang w:val="es-ES_tradnl"/>
        </w:rPr>
        <w:t xml:space="preserve"> establecido en la Concesión</w:t>
      </w:r>
      <w:r w:rsidR="006D61A9">
        <w:rPr>
          <w:rFonts w:ascii="Book Antiqua" w:hAnsi="Book Antiqua"/>
          <w:lang w:val="es-ES_tradnl"/>
        </w:rPr>
        <w:t xml:space="preserve">, </w:t>
      </w:r>
      <w:r>
        <w:rPr>
          <w:rFonts w:ascii="Book Antiqua" w:hAnsi="Book Antiqua"/>
          <w:lang w:val="es-ES_tradnl"/>
        </w:rPr>
        <w:t xml:space="preserve"> pero cuya cantidad no exceda de un (1) millón de dólares, a entidades que se acogieron a la alterna de 40% de créditos contributivos bajo la Ley 74-2010 según enmendada, y cuyos proyectos turísticos actualmente estén en desarrollo o en primer año de operación, siempre y cuando cumplan con los requisitos establecidos por la Ley </w:t>
      </w:r>
      <w:r w:rsidR="00D673F2">
        <w:rPr>
          <w:rFonts w:ascii="Book Antiqua" w:hAnsi="Book Antiqua"/>
          <w:lang w:val="es-ES_tradnl"/>
        </w:rPr>
        <w:t>y su Reglamento.</w:t>
      </w:r>
    </w:p>
    <w:p w14:paraId="6D1C89EA" w14:textId="6B1361F1" w:rsidR="00FD22A7" w:rsidRPr="002E03F7" w:rsidRDefault="002E03F7" w:rsidP="00FD22A7">
      <w:pPr>
        <w:spacing w:line="480" w:lineRule="auto"/>
        <w:ind w:firstLine="720"/>
        <w:jc w:val="both"/>
        <w:rPr>
          <w:rFonts w:ascii="Book Antiqua" w:hAnsi="Book Antiqua"/>
          <w:lang w:val="es-ES_tradnl"/>
        </w:rPr>
      </w:pPr>
      <w:r>
        <w:rPr>
          <w:rFonts w:ascii="Book Antiqua" w:hAnsi="Book Antiqua"/>
          <w:lang w:val="es-ES_tradnl"/>
        </w:rPr>
        <w:t>Sección</w:t>
      </w:r>
      <w:r w:rsidR="0007796D">
        <w:rPr>
          <w:rFonts w:ascii="Book Antiqua" w:hAnsi="Book Antiqua"/>
          <w:lang w:val="es-ES_tradnl"/>
        </w:rPr>
        <w:t xml:space="preserve"> 5</w:t>
      </w:r>
      <w:r w:rsidRPr="00CE5663">
        <w:rPr>
          <w:rFonts w:ascii="Book Antiqua" w:hAnsi="Book Antiqua"/>
          <w:lang w:val="es-ES_tradnl"/>
        </w:rPr>
        <w:t>.-Esta Resolución comenzará a regir inmediatamente después de su aprobación</w:t>
      </w:r>
      <w:r>
        <w:rPr>
          <w:rFonts w:ascii="Book Antiqua" w:hAnsi="Book Antiqua"/>
          <w:lang w:val="es-ES_tradnl"/>
        </w:rPr>
        <w:t xml:space="preserve"> y se mantendrá vigente </w:t>
      </w:r>
      <w:r w:rsidR="004A747D">
        <w:rPr>
          <w:rFonts w:ascii="Book Antiqua" w:hAnsi="Book Antiqua"/>
          <w:lang w:val="es-ES_tradnl"/>
        </w:rPr>
        <w:t>hasta el 31 de diciembre de 202</w:t>
      </w:r>
      <w:r w:rsidR="001A0919">
        <w:rPr>
          <w:rFonts w:ascii="Book Antiqua" w:hAnsi="Book Antiqua"/>
          <w:lang w:val="es-ES_tradnl"/>
        </w:rPr>
        <w:t xml:space="preserve">0. </w:t>
      </w:r>
    </w:p>
    <w:sectPr w:rsidR="00FD22A7" w:rsidRPr="002E03F7" w:rsidSect="00284A08">
      <w:type w:val="continuous"/>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036E" w14:textId="77777777" w:rsidR="007951E0" w:rsidRDefault="007951E0">
      <w:r>
        <w:separator/>
      </w:r>
    </w:p>
  </w:endnote>
  <w:endnote w:type="continuationSeparator" w:id="0">
    <w:p w14:paraId="26BE11C9" w14:textId="77777777" w:rsidR="007951E0" w:rsidRDefault="0079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3E05B" w14:textId="77777777" w:rsidR="007951E0" w:rsidRDefault="007951E0">
      <w:r>
        <w:separator/>
      </w:r>
    </w:p>
  </w:footnote>
  <w:footnote w:type="continuationSeparator" w:id="0">
    <w:p w14:paraId="60BEDC23" w14:textId="77777777" w:rsidR="007951E0" w:rsidRDefault="00795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270D" w14:textId="01032CBE" w:rsidR="00284A08" w:rsidRDefault="00284A08">
    <w:pPr>
      <w:pStyle w:val="Header"/>
      <w:jc w:val="center"/>
    </w:pPr>
    <w:r>
      <w:rPr>
        <w:rStyle w:val="PageNumber"/>
      </w:rPr>
      <w:fldChar w:fldCharType="begin"/>
    </w:r>
    <w:r>
      <w:rPr>
        <w:rStyle w:val="PageNumber"/>
      </w:rPr>
      <w:instrText xml:space="preserve"> PAGE </w:instrText>
    </w:r>
    <w:r>
      <w:rPr>
        <w:rStyle w:val="PageNumber"/>
      </w:rPr>
      <w:fldChar w:fldCharType="separate"/>
    </w:r>
    <w:r w:rsidR="00AB077A">
      <w:rPr>
        <w:rStyle w:val="PageNumber"/>
        <w:noProof/>
      </w:rPr>
      <w:t>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2E03F7"/>
    <w:rsid w:val="0000202E"/>
    <w:rsid w:val="00017CF4"/>
    <w:rsid w:val="00020BBB"/>
    <w:rsid w:val="000529D5"/>
    <w:rsid w:val="00056024"/>
    <w:rsid w:val="0007796D"/>
    <w:rsid w:val="00095AE1"/>
    <w:rsid w:val="00095EA4"/>
    <w:rsid w:val="000A6B6C"/>
    <w:rsid w:val="000B0DBB"/>
    <w:rsid w:val="00111E71"/>
    <w:rsid w:val="00116750"/>
    <w:rsid w:val="00127C6A"/>
    <w:rsid w:val="001363FE"/>
    <w:rsid w:val="00150906"/>
    <w:rsid w:val="0017132B"/>
    <w:rsid w:val="001A0919"/>
    <w:rsid w:val="001D7114"/>
    <w:rsid w:val="001F2499"/>
    <w:rsid w:val="001F4CA3"/>
    <w:rsid w:val="001F612A"/>
    <w:rsid w:val="00211396"/>
    <w:rsid w:val="002177C4"/>
    <w:rsid w:val="00226AE6"/>
    <w:rsid w:val="00245B34"/>
    <w:rsid w:val="00263355"/>
    <w:rsid w:val="002712AC"/>
    <w:rsid w:val="00273792"/>
    <w:rsid w:val="00284A08"/>
    <w:rsid w:val="00291393"/>
    <w:rsid w:val="002A09BC"/>
    <w:rsid w:val="002D4AC8"/>
    <w:rsid w:val="002E03F7"/>
    <w:rsid w:val="00320D78"/>
    <w:rsid w:val="00380FE5"/>
    <w:rsid w:val="003924DD"/>
    <w:rsid w:val="00394FCB"/>
    <w:rsid w:val="003963F4"/>
    <w:rsid w:val="003B5254"/>
    <w:rsid w:val="003B75A6"/>
    <w:rsid w:val="004061CA"/>
    <w:rsid w:val="00415689"/>
    <w:rsid w:val="00420D86"/>
    <w:rsid w:val="004440CB"/>
    <w:rsid w:val="00465F12"/>
    <w:rsid w:val="004713D2"/>
    <w:rsid w:val="004A747D"/>
    <w:rsid w:val="00521639"/>
    <w:rsid w:val="00522A0B"/>
    <w:rsid w:val="00532BB7"/>
    <w:rsid w:val="005332E4"/>
    <w:rsid w:val="0053550C"/>
    <w:rsid w:val="00555018"/>
    <w:rsid w:val="005723DC"/>
    <w:rsid w:val="005F4C35"/>
    <w:rsid w:val="0061742A"/>
    <w:rsid w:val="006210DC"/>
    <w:rsid w:val="006247E5"/>
    <w:rsid w:val="0064349D"/>
    <w:rsid w:val="00667D7C"/>
    <w:rsid w:val="00685549"/>
    <w:rsid w:val="006B7365"/>
    <w:rsid w:val="006C2D81"/>
    <w:rsid w:val="006C7DF8"/>
    <w:rsid w:val="006D61A9"/>
    <w:rsid w:val="00717842"/>
    <w:rsid w:val="00735AA9"/>
    <w:rsid w:val="0074229E"/>
    <w:rsid w:val="00742AF7"/>
    <w:rsid w:val="00750FC8"/>
    <w:rsid w:val="00751BD6"/>
    <w:rsid w:val="007532BB"/>
    <w:rsid w:val="007533D0"/>
    <w:rsid w:val="00755069"/>
    <w:rsid w:val="007951E0"/>
    <w:rsid w:val="007B0660"/>
    <w:rsid w:val="007E3868"/>
    <w:rsid w:val="00820C41"/>
    <w:rsid w:val="00833CEC"/>
    <w:rsid w:val="0084158D"/>
    <w:rsid w:val="00850256"/>
    <w:rsid w:val="00875417"/>
    <w:rsid w:val="009301B0"/>
    <w:rsid w:val="0093686F"/>
    <w:rsid w:val="00942FD4"/>
    <w:rsid w:val="00951997"/>
    <w:rsid w:val="00990352"/>
    <w:rsid w:val="009C2DD5"/>
    <w:rsid w:val="00A03405"/>
    <w:rsid w:val="00A12282"/>
    <w:rsid w:val="00A1528A"/>
    <w:rsid w:val="00A33918"/>
    <w:rsid w:val="00A54C1A"/>
    <w:rsid w:val="00A7629F"/>
    <w:rsid w:val="00AB077A"/>
    <w:rsid w:val="00AE026E"/>
    <w:rsid w:val="00AF0CEE"/>
    <w:rsid w:val="00B33A67"/>
    <w:rsid w:val="00B627D4"/>
    <w:rsid w:val="00B667AD"/>
    <w:rsid w:val="00B84C38"/>
    <w:rsid w:val="00B86C00"/>
    <w:rsid w:val="00B92EF9"/>
    <w:rsid w:val="00B947F6"/>
    <w:rsid w:val="00BA37AB"/>
    <w:rsid w:val="00BF16AA"/>
    <w:rsid w:val="00C354B8"/>
    <w:rsid w:val="00C52517"/>
    <w:rsid w:val="00C60921"/>
    <w:rsid w:val="00C62936"/>
    <w:rsid w:val="00C653F2"/>
    <w:rsid w:val="00C679E6"/>
    <w:rsid w:val="00C908F9"/>
    <w:rsid w:val="00CA0917"/>
    <w:rsid w:val="00CA1099"/>
    <w:rsid w:val="00CB5BC5"/>
    <w:rsid w:val="00D07777"/>
    <w:rsid w:val="00D417C2"/>
    <w:rsid w:val="00D50A38"/>
    <w:rsid w:val="00D60936"/>
    <w:rsid w:val="00D673F2"/>
    <w:rsid w:val="00D709EB"/>
    <w:rsid w:val="00D74714"/>
    <w:rsid w:val="00D82F3F"/>
    <w:rsid w:val="00D921C6"/>
    <w:rsid w:val="00D958C2"/>
    <w:rsid w:val="00E02A81"/>
    <w:rsid w:val="00E04AB5"/>
    <w:rsid w:val="00E128C0"/>
    <w:rsid w:val="00E35401"/>
    <w:rsid w:val="00E50EEA"/>
    <w:rsid w:val="00E52F58"/>
    <w:rsid w:val="00EB4DDA"/>
    <w:rsid w:val="00EC26AA"/>
    <w:rsid w:val="00ED7A53"/>
    <w:rsid w:val="00EE4273"/>
    <w:rsid w:val="00EF73BE"/>
    <w:rsid w:val="00F015DA"/>
    <w:rsid w:val="00F02004"/>
    <w:rsid w:val="00F042CB"/>
    <w:rsid w:val="00F51258"/>
    <w:rsid w:val="00FC0A95"/>
    <w:rsid w:val="00FC3D9C"/>
    <w:rsid w:val="00FD22A7"/>
    <w:rsid w:val="00FF0153"/>
    <w:rsid w:val="00FF4DD7"/>
    <w:rsid w:val="00FF5FB8"/>
    <w:rsid w:val="00FF6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02C29"/>
  <w15:chartTrackingRefBased/>
  <w15:docId w15:val="{D72EFE42-59E9-46A7-8AB3-49F80C82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Ninguno">
    <w:name w:val="Ninguno"/>
    <w:rsid w:val="002E03F7"/>
    <w:rPr>
      <w:lang w:val="es-ES_tradnl"/>
    </w:rPr>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BA3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AB"/>
    <w:rPr>
      <w:rFonts w:ascii="Segoe UI" w:hAnsi="Segoe UI" w:cs="Segoe UI"/>
      <w:sz w:val="18"/>
      <w:szCs w:val="18"/>
    </w:rPr>
  </w:style>
  <w:style w:type="character" w:styleId="Strong">
    <w:name w:val="Strong"/>
    <w:basedOn w:val="DefaultParagraphFont"/>
    <w:uiPriority w:val="22"/>
    <w:qFormat/>
    <w:rsid w:val="00291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17-2020_MOD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2017-2020_MOD5</Template>
  <TotalTime>2</TotalTime>
  <Pages>4</Pages>
  <Words>1248</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Brenda L. Rivera García</dc:creator>
  <cp:keywords/>
  <cp:lastModifiedBy>Gladys J. Burgos Torres</cp:lastModifiedBy>
  <cp:revision>4</cp:revision>
  <cp:lastPrinted>2020-06-17T16:05:00Z</cp:lastPrinted>
  <dcterms:created xsi:type="dcterms:W3CDTF">2020-06-17T16:48:00Z</dcterms:created>
  <dcterms:modified xsi:type="dcterms:W3CDTF">2020-06-17T20:34:00Z</dcterms:modified>
</cp:coreProperties>
</file>