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27F5" w14:textId="77777777" w:rsidR="00DF7D86" w:rsidRPr="00BF5BE0" w:rsidRDefault="0038510E">
      <w:pPr>
        <w:tabs>
          <w:tab w:val="center" w:pos="4680"/>
        </w:tabs>
        <w:rPr>
          <w:rFonts w:ascii="Book Antiqua" w:eastAsia="Book Antiqua" w:hAnsi="Book Antiqua" w:cs="Book Antiqua"/>
          <w:sz w:val="28"/>
          <w:szCs w:val="28"/>
          <w:lang w:val="es-PR"/>
        </w:rPr>
      </w:pPr>
      <w:r w:rsidRPr="00BF5BE0">
        <w:rPr>
          <w:rFonts w:ascii="Book Antiqua" w:eastAsia="Book Antiqua" w:hAnsi="Book Antiqua" w:cs="Book Antiqua"/>
          <w:sz w:val="28"/>
          <w:szCs w:val="28"/>
          <w:lang w:val="es-PR"/>
        </w:rPr>
        <w:tab/>
        <w:t>ESTADO LIBRE ASOCIADO DE PUERTO RICO</w:t>
      </w:r>
    </w:p>
    <w:p w14:paraId="02A4AC1D" w14:textId="77777777" w:rsidR="00DF7D86" w:rsidRPr="00BF5BE0" w:rsidRDefault="00DF7D86">
      <w:pPr>
        <w:tabs>
          <w:tab w:val="center" w:pos="4680"/>
        </w:tabs>
        <w:rPr>
          <w:rFonts w:ascii="Book Antiqua" w:eastAsia="Book Antiqua" w:hAnsi="Book Antiqua" w:cs="Book Antiqua"/>
          <w:sz w:val="28"/>
          <w:szCs w:val="28"/>
          <w:lang w:val="es-PR"/>
        </w:rPr>
      </w:pPr>
    </w:p>
    <w:p w14:paraId="026B7A4E" w14:textId="65A0D10C" w:rsidR="00DF7D86" w:rsidRPr="00BF5BE0" w:rsidRDefault="0038510E">
      <w:pPr>
        <w:tabs>
          <w:tab w:val="left" w:pos="720"/>
          <w:tab w:val="left" w:pos="7560"/>
          <w:tab w:val="left" w:pos="8100"/>
        </w:tabs>
        <w:rPr>
          <w:rFonts w:ascii="Book Antiqua" w:eastAsia="Book Antiqua" w:hAnsi="Book Antiqua" w:cs="Book Antiqua"/>
          <w:lang w:val="es-PR"/>
        </w:rPr>
      </w:pPr>
      <w:r w:rsidRPr="00BF5BE0">
        <w:rPr>
          <w:rFonts w:ascii="Book Antiqua" w:eastAsia="Book Antiqua" w:hAnsi="Book Antiqua" w:cs="Book Antiqua"/>
          <w:lang w:val="es-PR"/>
        </w:rPr>
        <w:t>19</w:t>
      </w:r>
      <w:r w:rsidRPr="00BF5BE0">
        <w:rPr>
          <w:rFonts w:ascii="Book Antiqua" w:eastAsia="Book Antiqua" w:hAnsi="Book Antiqua" w:cs="Book Antiqua"/>
          <w:vertAlign w:val="superscript"/>
          <w:lang w:val="es-PR"/>
        </w:rPr>
        <w:t>na</w:t>
      </w:r>
      <w:r w:rsidR="00C54AD6">
        <w:rPr>
          <w:rFonts w:ascii="Book Antiqua" w:eastAsia="Book Antiqua" w:hAnsi="Book Antiqua" w:cs="Book Antiqua"/>
          <w:lang w:val="es-PR"/>
        </w:rPr>
        <w:t xml:space="preserve"> </w:t>
      </w:r>
      <w:r w:rsidR="00C54AD6">
        <w:rPr>
          <w:rFonts w:ascii="Book Antiqua" w:eastAsia="Book Antiqua" w:hAnsi="Book Antiqua" w:cs="Book Antiqua"/>
          <w:lang w:val="es-PR"/>
        </w:rPr>
        <w:tab/>
        <w:t>Asamblea</w:t>
      </w:r>
      <w:r w:rsidR="00C54AD6">
        <w:rPr>
          <w:rFonts w:ascii="Book Antiqua" w:eastAsia="Book Antiqua" w:hAnsi="Book Antiqua" w:cs="Book Antiqua"/>
          <w:lang w:val="es-PR"/>
        </w:rPr>
        <w:tab/>
        <w:t>3</w:t>
      </w:r>
      <w:r w:rsidRPr="00BF5BE0">
        <w:rPr>
          <w:rFonts w:ascii="Book Antiqua" w:eastAsia="Book Antiqua" w:hAnsi="Book Antiqua" w:cs="Book Antiqua"/>
          <w:vertAlign w:val="superscript"/>
          <w:lang w:val="es-PR"/>
        </w:rPr>
        <w:t>ra</w:t>
      </w:r>
      <w:r w:rsidRPr="00BF5BE0">
        <w:rPr>
          <w:rFonts w:ascii="Book Antiqua" w:eastAsia="Book Antiqua" w:hAnsi="Book Antiqua" w:cs="Book Antiqua"/>
          <w:lang w:val="es-PR"/>
        </w:rPr>
        <w:t xml:space="preserve"> </w:t>
      </w:r>
      <w:r w:rsidRPr="00BF5BE0">
        <w:rPr>
          <w:rFonts w:ascii="Book Antiqua" w:eastAsia="Book Antiqua" w:hAnsi="Book Antiqua" w:cs="Book Antiqua"/>
          <w:lang w:val="es-PR"/>
        </w:rPr>
        <w:tab/>
        <w:t>Sesión</w:t>
      </w:r>
    </w:p>
    <w:p w14:paraId="703FA46E" w14:textId="77777777" w:rsidR="00DF7D86" w:rsidRPr="00BF5BE0" w:rsidRDefault="0038510E">
      <w:pPr>
        <w:tabs>
          <w:tab w:val="left" w:pos="720"/>
          <w:tab w:val="left" w:pos="4215"/>
          <w:tab w:val="left" w:pos="5160"/>
          <w:tab w:val="left" w:pos="8100"/>
        </w:tabs>
        <w:rPr>
          <w:rFonts w:ascii="Book Antiqua" w:eastAsia="Book Antiqua" w:hAnsi="Book Antiqua" w:cs="Book Antiqua"/>
          <w:lang w:val="es-PR"/>
        </w:rPr>
      </w:pPr>
      <w:r w:rsidRPr="00BF5BE0">
        <w:rPr>
          <w:rFonts w:ascii="Book Antiqua" w:eastAsia="Book Antiqua" w:hAnsi="Book Antiqua" w:cs="Book Antiqua"/>
          <w:lang w:val="es-PR"/>
        </w:rPr>
        <w:tab/>
        <w:t>Legislativa</w:t>
      </w:r>
      <w:r w:rsidRPr="00BF5BE0">
        <w:rPr>
          <w:rFonts w:ascii="Book Antiqua" w:eastAsia="Book Antiqua" w:hAnsi="Book Antiqua" w:cs="Book Antiqua"/>
          <w:lang w:val="es-PR"/>
        </w:rPr>
        <w:tab/>
      </w:r>
      <w:r w:rsidRPr="00BF5BE0">
        <w:rPr>
          <w:rFonts w:ascii="Book Antiqua" w:eastAsia="Book Antiqua" w:hAnsi="Book Antiqua" w:cs="Book Antiqua"/>
          <w:lang w:val="es-PR"/>
        </w:rPr>
        <w:tab/>
      </w:r>
      <w:r w:rsidRPr="00BF5BE0">
        <w:rPr>
          <w:rFonts w:ascii="Book Antiqua" w:eastAsia="Book Antiqua" w:hAnsi="Book Antiqua" w:cs="Book Antiqua"/>
          <w:lang w:val="es-PR"/>
        </w:rPr>
        <w:tab/>
        <w:t>Ordinaria</w:t>
      </w:r>
    </w:p>
    <w:p w14:paraId="5493F33C" w14:textId="77777777" w:rsidR="00DF7D86" w:rsidRPr="00BF5BE0" w:rsidRDefault="00DF7D86">
      <w:pPr>
        <w:spacing w:line="360" w:lineRule="auto"/>
        <w:jc w:val="center"/>
        <w:rPr>
          <w:rFonts w:ascii="Book Antiqua" w:eastAsia="Book Antiqua" w:hAnsi="Book Antiqua" w:cs="Book Antiqua"/>
          <w:b/>
          <w:sz w:val="36"/>
          <w:szCs w:val="36"/>
          <w:lang w:val="es-PR"/>
        </w:rPr>
      </w:pPr>
    </w:p>
    <w:p w14:paraId="4AE730EB" w14:textId="77777777" w:rsidR="00DF7D86" w:rsidRPr="00BF5BE0" w:rsidRDefault="0038510E">
      <w:pPr>
        <w:spacing w:line="360" w:lineRule="auto"/>
        <w:jc w:val="center"/>
        <w:rPr>
          <w:rFonts w:ascii="Book Antiqua" w:eastAsia="Book Antiqua" w:hAnsi="Book Antiqua" w:cs="Book Antiqua"/>
          <w:b/>
          <w:sz w:val="36"/>
          <w:szCs w:val="36"/>
          <w:lang w:val="es-PR"/>
        </w:rPr>
      </w:pPr>
      <w:r w:rsidRPr="00BF5BE0">
        <w:rPr>
          <w:rFonts w:ascii="Book Antiqua" w:eastAsia="Book Antiqua" w:hAnsi="Book Antiqua" w:cs="Book Antiqua"/>
          <w:b/>
          <w:sz w:val="36"/>
          <w:szCs w:val="36"/>
          <w:lang w:val="es-PR"/>
        </w:rPr>
        <w:t>CÁMARA DE REPRESENTANTES</w:t>
      </w:r>
    </w:p>
    <w:p w14:paraId="224C8555" w14:textId="1C6F985E" w:rsidR="00DF7D86" w:rsidRPr="00BF5BE0" w:rsidRDefault="00611979">
      <w:pPr>
        <w:spacing w:line="360" w:lineRule="auto"/>
        <w:jc w:val="center"/>
        <w:rPr>
          <w:rFonts w:ascii="Book Antiqua" w:eastAsia="Book Antiqua" w:hAnsi="Book Antiqua" w:cs="Book Antiqua"/>
          <w:b/>
          <w:sz w:val="52"/>
          <w:szCs w:val="52"/>
          <w:lang w:val="es-PR"/>
        </w:rPr>
      </w:pPr>
      <w:r>
        <w:rPr>
          <w:rFonts w:ascii="Book Antiqua" w:eastAsia="Book Antiqua" w:hAnsi="Book Antiqua" w:cs="Book Antiqua"/>
          <w:b/>
          <w:sz w:val="52"/>
          <w:szCs w:val="52"/>
          <w:lang w:val="es-PR"/>
        </w:rPr>
        <w:t xml:space="preserve">P. de la C. </w:t>
      </w:r>
      <w:r w:rsidR="00844E45">
        <w:rPr>
          <w:rFonts w:ascii="Book Antiqua" w:eastAsia="Book Antiqua" w:hAnsi="Book Antiqua" w:cs="Book Antiqua"/>
          <w:b/>
          <w:sz w:val="52"/>
          <w:szCs w:val="52"/>
          <w:lang w:val="es-PR"/>
        </w:rPr>
        <w:t>597</w:t>
      </w:r>
    </w:p>
    <w:p w14:paraId="6CA3DF2C" w14:textId="77777777" w:rsidR="00DF7D86" w:rsidRPr="00BF5BE0" w:rsidRDefault="0038510E">
      <w:pPr>
        <w:spacing w:line="360" w:lineRule="auto"/>
        <w:jc w:val="center"/>
        <w:rPr>
          <w:rFonts w:ascii="Book Antiqua" w:eastAsia="Book Antiqua" w:hAnsi="Book Antiqua" w:cs="Book Antiqua"/>
          <w:b/>
          <w:sz w:val="28"/>
          <w:szCs w:val="28"/>
          <w:lang w:val="es-PR"/>
        </w:rPr>
      </w:pPr>
      <w:r w:rsidRPr="00BF5BE0">
        <w:rPr>
          <w:rFonts w:ascii="Book Antiqua" w:eastAsia="Book Antiqua" w:hAnsi="Book Antiqua" w:cs="Book Antiqua"/>
          <w:b/>
          <w:sz w:val="28"/>
          <w:szCs w:val="28"/>
          <w:lang w:val="es-PR"/>
        </w:rPr>
        <w:t>INFORME POSITIVO</w:t>
      </w:r>
    </w:p>
    <w:p w14:paraId="65B59E42" w14:textId="5CAE3318" w:rsidR="00DF7D86" w:rsidRPr="00BF5BE0" w:rsidRDefault="005E5CCF">
      <w:pPr>
        <w:spacing w:line="360" w:lineRule="auto"/>
        <w:jc w:val="center"/>
        <w:rPr>
          <w:rFonts w:ascii="Book Antiqua" w:eastAsia="Book Antiqua" w:hAnsi="Book Antiqua" w:cs="Book Antiqua"/>
          <w:b/>
          <w:lang w:val="es-PR"/>
        </w:rPr>
      </w:pPr>
      <w:r>
        <w:rPr>
          <w:rFonts w:ascii="Book Antiqua" w:eastAsia="Book Antiqua" w:hAnsi="Book Antiqua" w:cs="Book Antiqua"/>
          <w:lang w:val="es-PR"/>
        </w:rPr>
        <w:t>10</w:t>
      </w:r>
      <w:r w:rsidR="007B257D">
        <w:rPr>
          <w:rFonts w:ascii="Book Antiqua" w:eastAsia="Book Antiqua" w:hAnsi="Book Antiqua" w:cs="Book Antiqua"/>
          <w:lang w:val="es-PR"/>
        </w:rPr>
        <w:t xml:space="preserve"> </w:t>
      </w:r>
      <w:r w:rsidR="0038510E" w:rsidRPr="00BF5BE0">
        <w:rPr>
          <w:rFonts w:ascii="Book Antiqua" w:eastAsia="Book Antiqua" w:hAnsi="Book Antiqua" w:cs="Book Antiqua"/>
          <w:lang w:val="es-PR"/>
        </w:rPr>
        <w:t xml:space="preserve">de </w:t>
      </w:r>
      <w:r w:rsidR="00C54AD6">
        <w:rPr>
          <w:rFonts w:ascii="Book Antiqua" w:eastAsia="Book Antiqua" w:hAnsi="Book Antiqua" w:cs="Book Antiqua"/>
          <w:lang w:val="es-PR"/>
        </w:rPr>
        <w:t>febrero de 2022</w:t>
      </w:r>
    </w:p>
    <w:p w14:paraId="03852CD0" w14:textId="77777777" w:rsidR="00DF7D86" w:rsidRPr="00BF5BE0" w:rsidRDefault="00DF7D86">
      <w:pPr>
        <w:jc w:val="both"/>
        <w:rPr>
          <w:rFonts w:ascii="Book Antiqua" w:eastAsia="Book Antiqua" w:hAnsi="Book Antiqua" w:cs="Book Antiqua"/>
          <w:b/>
          <w:lang w:val="es-PR"/>
        </w:rPr>
      </w:pPr>
    </w:p>
    <w:p w14:paraId="2714CB15" w14:textId="77777777" w:rsidR="00DF7D86" w:rsidRPr="00BF5BE0" w:rsidRDefault="0038510E">
      <w:pPr>
        <w:jc w:val="both"/>
        <w:rPr>
          <w:rFonts w:ascii="Book Antiqua" w:eastAsia="Book Antiqua" w:hAnsi="Book Antiqua" w:cs="Book Antiqua"/>
          <w:b/>
          <w:lang w:val="es-PR"/>
        </w:rPr>
      </w:pPr>
      <w:r w:rsidRPr="00BF5BE0">
        <w:rPr>
          <w:rFonts w:ascii="Book Antiqua" w:eastAsia="Book Antiqua" w:hAnsi="Book Antiqua" w:cs="Book Antiqua"/>
          <w:b/>
          <w:lang w:val="es-PR"/>
        </w:rPr>
        <w:t>A LA CÁMARA DE REPRESENTANTES DE PUERTO RICO</w:t>
      </w:r>
    </w:p>
    <w:p w14:paraId="63BF9BD9" w14:textId="77777777" w:rsidR="00DF7D86" w:rsidRPr="00BF5BE0" w:rsidRDefault="00DF7D86">
      <w:pPr>
        <w:ind w:firstLine="360"/>
        <w:jc w:val="both"/>
        <w:rPr>
          <w:rFonts w:ascii="Book Antiqua" w:eastAsia="Book Antiqua" w:hAnsi="Book Antiqua" w:cs="Book Antiqua"/>
          <w:lang w:val="es-PR"/>
        </w:rPr>
      </w:pPr>
    </w:p>
    <w:p w14:paraId="48CACF04" w14:textId="0FD1D38E" w:rsidR="00DF7D86" w:rsidRPr="00BF5BE0" w:rsidRDefault="00AC3E49">
      <w:pPr>
        <w:ind w:firstLine="720"/>
        <w:jc w:val="both"/>
        <w:rPr>
          <w:rFonts w:ascii="Book Antiqua" w:eastAsia="Book Antiqua" w:hAnsi="Book Antiqua" w:cs="Book Antiqua"/>
          <w:lang w:val="es-PR"/>
        </w:rPr>
      </w:pPr>
      <w:r>
        <w:rPr>
          <w:rFonts w:ascii="Book Antiqua" w:eastAsia="Book Antiqua" w:hAnsi="Book Antiqua" w:cs="Book Antiqua"/>
          <w:lang w:val="es-PR"/>
        </w:rPr>
        <w:t>N</w:t>
      </w:r>
      <w:r w:rsidR="007B257D">
        <w:rPr>
          <w:rFonts w:ascii="Book Antiqua" w:eastAsia="Book Antiqua" w:hAnsi="Book Antiqua" w:cs="Book Antiqua"/>
          <w:lang w:val="es-PR"/>
        </w:rPr>
        <w:t>uestra</w:t>
      </w:r>
      <w:r w:rsidR="0038510E" w:rsidRPr="00BF5BE0">
        <w:rPr>
          <w:rFonts w:ascii="Book Antiqua" w:eastAsia="Book Antiqua" w:hAnsi="Book Antiqua" w:cs="Book Antiqua"/>
          <w:lang w:val="es-PR"/>
        </w:rPr>
        <w:t xml:space="preserve"> Comisión </w:t>
      </w:r>
      <w:r w:rsidR="00611979">
        <w:rPr>
          <w:rFonts w:ascii="Book Antiqua" w:eastAsia="Book Antiqua" w:hAnsi="Book Antiqua" w:cs="Book Antiqua"/>
          <w:lang w:val="es-PR"/>
        </w:rPr>
        <w:t>sobre los Derechos del Consumidor, Servicios Bancarios e Industria de Seguros</w:t>
      </w:r>
      <w:r w:rsidR="0038510E" w:rsidRPr="00BF5BE0">
        <w:rPr>
          <w:rFonts w:ascii="Book Antiqua" w:eastAsia="Book Antiqua" w:hAnsi="Book Antiqua" w:cs="Book Antiqua"/>
          <w:lang w:val="es-PR"/>
        </w:rPr>
        <w:t xml:space="preserve"> de la Cámara de Representantes</w:t>
      </w:r>
      <w:r w:rsidR="007B257D">
        <w:rPr>
          <w:rFonts w:ascii="Book Antiqua" w:eastAsia="Book Antiqua" w:hAnsi="Book Antiqua" w:cs="Book Antiqua"/>
          <w:lang w:val="es-PR"/>
        </w:rPr>
        <w:t xml:space="preserve"> del Estado Libre Asociado de Puerto Rico</w:t>
      </w:r>
      <w:r w:rsidR="0038510E" w:rsidRPr="00BF5BE0">
        <w:rPr>
          <w:rFonts w:ascii="Book Antiqua" w:eastAsia="Book Antiqua" w:hAnsi="Book Antiqua" w:cs="Book Antiqua"/>
          <w:lang w:val="es-PR"/>
        </w:rPr>
        <w:t>, previo estudio y c</w:t>
      </w:r>
      <w:r w:rsidR="00611979">
        <w:rPr>
          <w:rFonts w:ascii="Book Antiqua" w:eastAsia="Book Antiqua" w:hAnsi="Book Antiqua" w:cs="Book Antiqua"/>
          <w:lang w:val="es-PR"/>
        </w:rPr>
        <w:t xml:space="preserve">onsideración del P. de la C. </w:t>
      </w:r>
      <w:r>
        <w:rPr>
          <w:rFonts w:ascii="Book Antiqua" w:eastAsia="Book Antiqua" w:hAnsi="Book Antiqua" w:cs="Book Antiqua"/>
          <w:lang w:val="es-PR"/>
        </w:rPr>
        <w:t>597</w:t>
      </w:r>
      <w:r w:rsidR="0038510E" w:rsidRPr="00BF5BE0">
        <w:rPr>
          <w:rFonts w:ascii="Book Antiqua" w:eastAsia="Book Antiqua" w:hAnsi="Book Antiqua" w:cs="Book Antiqua"/>
          <w:lang w:val="es-PR"/>
        </w:rPr>
        <w:t>, tiene a bien recomendar a este</w:t>
      </w:r>
      <w:r w:rsidR="007B257D">
        <w:rPr>
          <w:rFonts w:ascii="Book Antiqua" w:eastAsia="Book Antiqua" w:hAnsi="Book Antiqua" w:cs="Book Antiqua"/>
          <w:lang w:val="es-PR"/>
        </w:rPr>
        <w:t xml:space="preserve"> Alto Cuerpo la aprobación de l</w:t>
      </w:r>
      <w:r w:rsidR="0038510E" w:rsidRPr="00BF5BE0">
        <w:rPr>
          <w:rFonts w:ascii="Book Antiqua" w:eastAsia="Book Antiqua" w:hAnsi="Book Antiqua" w:cs="Book Antiqua"/>
          <w:lang w:val="es-PR"/>
        </w:rPr>
        <w:t xml:space="preserve">a medida </w:t>
      </w:r>
      <w:r>
        <w:rPr>
          <w:rFonts w:ascii="Book Antiqua" w:eastAsia="Book Antiqua" w:hAnsi="Book Antiqua" w:cs="Book Antiqua"/>
          <w:lang w:val="es-PR"/>
        </w:rPr>
        <w:t>con</w:t>
      </w:r>
      <w:r w:rsidR="0038510E" w:rsidRPr="00BF5BE0">
        <w:rPr>
          <w:rFonts w:ascii="Book Antiqua" w:eastAsia="Book Antiqua" w:hAnsi="Book Antiqua" w:cs="Book Antiqua"/>
          <w:lang w:val="es-PR"/>
        </w:rPr>
        <w:t xml:space="preserve"> enmiendas. </w:t>
      </w:r>
    </w:p>
    <w:p w14:paraId="2774979C" w14:textId="77777777" w:rsidR="00DF7D86" w:rsidRPr="00BF5BE0" w:rsidRDefault="00DF7D86">
      <w:pPr>
        <w:rPr>
          <w:rFonts w:ascii="Book Antiqua" w:eastAsia="Book Antiqua" w:hAnsi="Book Antiqua" w:cs="Book Antiqua"/>
          <w:b/>
          <w:sz w:val="32"/>
          <w:szCs w:val="32"/>
          <w:lang w:val="es-PR"/>
        </w:rPr>
      </w:pPr>
    </w:p>
    <w:p w14:paraId="00C5E8B9" w14:textId="77777777" w:rsidR="003B38A4" w:rsidRPr="003B38A4" w:rsidRDefault="003B38A4" w:rsidP="003B38A4">
      <w:pPr>
        <w:jc w:val="center"/>
        <w:rPr>
          <w:rFonts w:ascii="Book Antiqua" w:eastAsia="Book Antiqua" w:hAnsi="Book Antiqua" w:cs="Book Antiqua"/>
          <w:b/>
          <w:bCs/>
          <w:lang w:val="es-PR"/>
        </w:rPr>
      </w:pPr>
      <w:r w:rsidRPr="003B38A4">
        <w:rPr>
          <w:rFonts w:ascii="Book Antiqua" w:eastAsia="Book Antiqua" w:hAnsi="Book Antiqua" w:cs="Book Antiqua"/>
          <w:b/>
          <w:bCs/>
          <w:lang w:val="es-PR"/>
        </w:rPr>
        <w:t>ALCANCE DE LA MEDIDA</w:t>
      </w:r>
    </w:p>
    <w:p w14:paraId="1C560ACC" w14:textId="77777777" w:rsidR="00C54AD6" w:rsidRDefault="00C54AD6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32540CFF" w14:textId="3C77077B" w:rsidR="00E94262" w:rsidRPr="00E94262" w:rsidRDefault="003B38A4" w:rsidP="00E94262">
      <w:pPr>
        <w:jc w:val="both"/>
        <w:rPr>
          <w:rFonts w:ascii="Book Antiqua" w:eastAsia="Book Antiqua" w:hAnsi="Book Antiqua" w:cs="Book Antiqua"/>
          <w:lang w:val="es-ES"/>
        </w:rPr>
      </w:pPr>
      <w:r w:rsidRPr="003B38A4">
        <w:rPr>
          <w:rFonts w:ascii="Book Antiqua" w:eastAsia="Book Antiqua" w:hAnsi="Book Antiqua" w:cs="Book Antiqua"/>
          <w:lang w:val="es-PR"/>
        </w:rPr>
        <w:t xml:space="preserve">El proyecto de la Cámara </w:t>
      </w:r>
      <w:r w:rsidR="00AC3E49">
        <w:rPr>
          <w:rFonts w:ascii="Book Antiqua" w:eastAsia="Book Antiqua" w:hAnsi="Book Antiqua" w:cs="Book Antiqua"/>
          <w:lang w:val="es-PR"/>
        </w:rPr>
        <w:t>597</w:t>
      </w:r>
      <w:r w:rsidRPr="003B38A4">
        <w:rPr>
          <w:rFonts w:ascii="Book Antiqua" w:eastAsia="Book Antiqua" w:hAnsi="Book Antiqua" w:cs="Book Antiqua"/>
          <w:lang w:val="es-PR"/>
        </w:rPr>
        <w:t xml:space="preserve"> tiene como propósito </w:t>
      </w:r>
      <w:r w:rsidR="00E94262">
        <w:rPr>
          <w:rFonts w:ascii="Book Antiqua" w:eastAsia="Book Antiqua" w:hAnsi="Book Antiqua" w:cs="Book Antiqua"/>
          <w:lang w:val="es-PR"/>
        </w:rPr>
        <w:t>“</w:t>
      </w:r>
      <w:r w:rsidR="00E94262" w:rsidRPr="00E94262">
        <w:rPr>
          <w:rFonts w:ascii="Book Antiqua" w:eastAsia="Book Antiqua" w:hAnsi="Book Antiqua" w:cs="Book Antiqua"/>
          <w:lang w:val="es-ES_tradnl"/>
        </w:rPr>
        <w:t xml:space="preserve">enmendar el Artículo 6(j) de la Ley Núm. 5 de 23 de abril de 1973, según enmendada, conocida como “Ley Orgánica del Departamento de Asuntos del Consumidor” a los fines de conceder </w:t>
      </w:r>
      <w:r w:rsidR="00E94262" w:rsidRPr="00E94262">
        <w:rPr>
          <w:rFonts w:ascii="Book Antiqua" w:eastAsia="Book Antiqua" w:hAnsi="Book Antiqua" w:cs="Book Antiqua"/>
          <w:lang w:val="es-PR"/>
        </w:rPr>
        <w:t xml:space="preserve">expresamente la facultad de reglamentar y fiscalizar los anuncios, ofertas y ventas de productos con </w:t>
      </w:r>
      <w:proofErr w:type="spellStart"/>
      <w:r w:rsidR="00E94262" w:rsidRPr="00E94262">
        <w:rPr>
          <w:rFonts w:ascii="Book Antiqua" w:eastAsia="Book Antiqua" w:hAnsi="Book Antiqua" w:cs="Book Antiqua"/>
          <w:lang w:val="es-PR"/>
        </w:rPr>
        <w:t>cannabidiol</w:t>
      </w:r>
      <w:proofErr w:type="spellEnd"/>
      <w:r w:rsidR="00E94262" w:rsidRPr="00E94262">
        <w:rPr>
          <w:rFonts w:ascii="Book Antiqua" w:eastAsia="Book Antiqua" w:hAnsi="Book Antiqua" w:cs="Book Antiqua"/>
          <w:lang w:val="es-PR"/>
        </w:rPr>
        <w:t xml:space="preserve"> (CBD) o relacionados al cannabis medicinal, en comercios que no son dispensarios autorizados bajo la Ley Núm. 42-2017, al Departamento de Asuntos del Consumidor;  autorizar la aprobación de reglamentos; </w:t>
      </w:r>
      <w:r w:rsidR="00E94262" w:rsidRPr="00E94262">
        <w:rPr>
          <w:rFonts w:ascii="Book Antiqua" w:eastAsia="Book Antiqua" w:hAnsi="Book Antiqua" w:cs="Book Antiqua"/>
          <w:lang w:val="es-ES_tradnl"/>
        </w:rPr>
        <w:t>y para otros fines relacionados</w:t>
      </w:r>
      <w:r w:rsidR="00E94262">
        <w:rPr>
          <w:rFonts w:ascii="Book Antiqua" w:eastAsia="Book Antiqua" w:hAnsi="Book Antiqua" w:cs="Book Antiqua"/>
          <w:lang w:val="es-ES_tradnl"/>
        </w:rPr>
        <w:t>”</w:t>
      </w:r>
      <w:r w:rsidR="00E94262" w:rsidRPr="00E94262">
        <w:rPr>
          <w:rFonts w:ascii="Book Antiqua" w:eastAsia="Book Antiqua" w:hAnsi="Book Antiqua" w:cs="Book Antiqua"/>
          <w:lang w:val="es-ES"/>
        </w:rPr>
        <w:t>.</w:t>
      </w:r>
    </w:p>
    <w:p w14:paraId="78E146AA" w14:textId="77777777" w:rsidR="00E94262" w:rsidRPr="00E94262" w:rsidRDefault="00E94262" w:rsidP="003B38A4">
      <w:pPr>
        <w:jc w:val="both"/>
        <w:rPr>
          <w:rFonts w:ascii="Book Antiqua" w:eastAsia="Book Antiqua" w:hAnsi="Book Antiqua" w:cs="Book Antiqua"/>
          <w:lang w:val="es-ES"/>
        </w:rPr>
      </w:pPr>
    </w:p>
    <w:p w14:paraId="54246FE2" w14:textId="77777777" w:rsidR="00C54AD6" w:rsidRDefault="00C54AD6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59AC646E" w14:textId="77777777" w:rsidR="003B38A4" w:rsidRPr="00C54AD6" w:rsidRDefault="003B38A4" w:rsidP="00C54AD6">
      <w:pPr>
        <w:jc w:val="center"/>
        <w:rPr>
          <w:rFonts w:ascii="Book Antiqua" w:eastAsia="Book Antiqua" w:hAnsi="Book Antiqua" w:cs="Book Antiqua"/>
          <w:b/>
          <w:bCs/>
          <w:lang w:val="es-PR"/>
        </w:rPr>
      </w:pPr>
      <w:r w:rsidRPr="00C54AD6">
        <w:rPr>
          <w:rFonts w:ascii="Book Antiqua" w:eastAsia="Book Antiqua" w:hAnsi="Book Antiqua" w:cs="Book Antiqua"/>
          <w:b/>
          <w:bCs/>
          <w:lang w:val="es-PR"/>
        </w:rPr>
        <w:t>ANÁLISIS DE LA MEDIDA</w:t>
      </w:r>
    </w:p>
    <w:p w14:paraId="4595A8FA" w14:textId="77777777" w:rsidR="003B38A4" w:rsidRP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0A714261" w14:textId="5DE9BFB9" w:rsid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  <w:r w:rsidRPr="003B38A4">
        <w:rPr>
          <w:rFonts w:ascii="Book Antiqua" w:eastAsia="Book Antiqua" w:hAnsi="Book Antiqua" w:cs="Book Antiqua"/>
          <w:lang w:val="es-PR"/>
        </w:rPr>
        <w:t xml:space="preserve">La Comisión Sobre los Derechos del Consumidor, Servicios Bancarios e Industria de Seguros, como parte de la evaluación del Proyecto de la Cámara Núm. </w:t>
      </w:r>
      <w:r w:rsidR="00B85B25">
        <w:rPr>
          <w:rFonts w:ascii="Book Antiqua" w:eastAsia="Book Antiqua" w:hAnsi="Book Antiqua" w:cs="Book Antiqua"/>
          <w:lang w:val="es-PR"/>
        </w:rPr>
        <w:t>597</w:t>
      </w:r>
      <w:r w:rsidRPr="003B38A4">
        <w:rPr>
          <w:rFonts w:ascii="Book Antiqua" w:eastAsia="Book Antiqua" w:hAnsi="Book Antiqua" w:cs="Book Antiqua"/>
          <w:lang w:val="es-PR"/>
        </w:rPr>
        <w:t>, solicitó y recib</w:t>
      </w:r>
      <w:r w:rsidR="00B62EFA">
        <w:rPr>
          <w:rFonts w:ascii="Book Antiqua" w:eastAsia="Book Antiqua" w:hAnsi="Book Antiqua" w:cs="Book Antiqua"/>
          <w:lang w:val="es-PR"/>
        </w:rPr>
        <w:t>ió memoriales explicativos de la</w:t>
      </w:r>
      <w:r w:rsidRPr="003B38A4">
        <w:rPr>
          <w:rFonts w:ascii="Book Antiqua" w:eastAsia="Book Antiqua" w:hAnsi="Book Antiqua" w:cs="Book Antiqua"/>
          <w:lang w:val="es-PR"/>
        </w:rPr>
        <w:t>s siguientes</w:t>
      </w:r>
      <w:r w:rsidR="00B62EFA">
        <w:rPr>
          <w:rFonts w:ascii="Book Antiqua" w:eastAsia="Book Antiqua" w:hAnsi="Book Antiqua" w:cs="Book Antiqua"/>
          <w:lang w:val="es-PR"/>
        </w:rPr>
        <w:t xml:space="preserve"> agencias</w:t>
      </w:r>
      <w:r w:rsidRPr="003B38A4">
        <w:rPr>
          <w:rFonts w:ascii="Book Antiqua" w:eastAsia="Book Antiqua" w:hAnsi="Book Antiqua" w:cs="Book Antiqua"/>
          <w:lang w:val="es-PR"/>
        </w:rPr>
        <w:t>:</w:t>
      </w:r>
    </w:p>
    <w:p w14:paraId="4F8B137E" w14:textId="77777777" w:rsidR="00B62EFA" w:rsidRPr="003B38A4" w:rsidRDefault="00B62EFA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22185C55" w14:textId="77777777" w:rsidR="00B85B25" w:rsidRDefault="00B85B25" w:rsidP="00B85B25">
      <w:pPr>
        <w:pStyle w:val="ListParagraph"/>
        <w:numPr>
          <w:ilvl w:val="0"/>
          <w:numId w:val="13"/>
        </w:numPr>
        <w:jc w:val="both"/>
        <w:rPr>
          <w:rFonts w:ascii="Book Antiqua" w:eastAsia="Book Antiqua" w:hAnsi="Book Antiqua" w:cs="Book Antiqua"/>
          <w:lang w:val="es-PR"/>
        </w:rPr>
      </w:pPr>
      <w:r>
        <w:rPr>
          <w:rFonts w:ascii="Book Antiqua" w:eastAsia="Book Antiqua" w:hAnsi="Book Antiqua" w:cs="Book Antiqua"/>
          <w:lang w:val="es-PR"/>
        </w:rPr>
        <w:t>Departamento de Salud</w:t>
      </w:r>
    </w:p>
    <w:p w14:paraId="04B1AD90" w14:textId="3606929A" w:rsidR="00B62EFA" w:rsidRDefault="00B85B25" w:rsidP="00B85B25">
      <w:pPr>
        <w:pStyle w:val="ListParagraph"/>
        <w:numPr>
          <w:ilvl w:val="0"/>
          <w:numId w:val="13"/>
        </w:numPr>
        <w:jc w:val="both"/>
        <w:rPr>
          <w:rFonts w:ascii="Book Antiqua" w:eastAsia="Book Antiqua" w:hAnsi="Book Antiqua" w:cs="Book Antiqua"/>
          <w:lang w:val="es-PR"/>
        </w:rPr>
      </w:pPr>
      <w:r w:rsidRPr="00B85B25">
        <w:rPr>
          <w:rFonts w:ascii="Book Antiqua" w:eastAsia="Book Antiqua" w:hAnsi="Book Antiqua" w:cs="Book Antiqua"/>
          <w:lang w:val="es-PR"/>
        </w:rPr>
        <w:t xml:space="preserve">Junta </w:t>
      </w:r>
      <w:proofErr w:type="spellStart"/>
      <w:r w:rsidRPr="00B85B25">
        <w:rPr>
          <w:rFonts w:ascii="Book Antiqua" w:eastAsia="Book Antiqua" w:hAnsi="Book Antiqua" w:cs="Book Antiqua"/>
          <w:lang w:val="es-PR"/>
        </w:rPr>
        <w:t>Reglamentadora</w:t>
      </w:r>
      <w:proofErr w:type="spellEnd"/>
      <w:r w:rsidRPr="00B85B25">
        <w:rPr>
          <w:rFonts w:ascii="Book Antiqua" w:eastAsia="Book Antiqua" w:hAnsi="Book Antiqua" w:cs="Book Antiqua"/>
          <w:lang w:val="es-PR"/>
        </w:rPr>
        <w:t xml:space="preserve"> de Cannabis Medicinal</w:t>
      </w:r>
      <w:r w:rsidR="003B38A4" w:rsidRPr="00B85B25">
        <w:rPr>
          <w:rFonts w:ascii="Book Antiqua" w:eastAsia="Book Antiqua" w:hAnsi="Book Antiqua" w:cs="Book Antiqua"/>
          <w:lang w:val="es-PR"/>
        </w:rPr>
        <w:tab/>
      </w:r>
      <w:r w:rsidR="003B38A4" w:rsidRPr="00B62EFA">
        <w:rPr>
          <w:rFonts w:ascii="Book Antiqua" w:eastAsia="Book Antiqua" w:hAnsi="Book Antiqua" w:cs="Book Antiqua"/>
          <w:lang w:val="es-PR"/>
        </w:rPr>
        <w:t xml:space="preserve"> </w:t>
      </w:r>
    </w:p>
    <w:p w14:paraId="2708A0CC" w14:textId="77777777" w:rsidR="00B85B25" w:rsidRDefault="00B85B25" w:rsidP="00B85B25">
      <w:pPr>
        <w:pStyle w:val="ListParagraph"/>
        <w:numPr>
          <w:ilvl w:val="0"/>
          <w:numId w:val="13"/>
        </w:numPr>
        <w:jc w:val="both"/>
        <w:rPr>
          <w:rFonts w:ascii="Book Antiqua" w:eastAsia="Book Antiqua" w:hAnsi="Book Antiqua" w:cs="Book Antiqua"/>
          <w:lang w:val="es-PR"/>
        </w:rPr>
      </w:pPr>
      <w:r>
        <w:rPr>
          <w:rFonts w:ascii="Book Antiqua" w:eastAsia="Book Antiqua" w:hAnsi="Book Antiqua" w:cs="Book Antiqua"/>
          <w:lang w:val="es-PR"/>
        </w:rPr>
        <w:lastRenderedPageBreak/>
        <w:t>Departamento de Asuntos del Consumidor</w:t>
      </w:r>
    </w:p>
    <w:p w14:paraId="5B03EB91" w14:textId="2305E86A" w:rsidR="003B38A4" w:rsidRDefault="00B85B25" w:rsidP="003B38A4">
      <w:pPr>
        <w:pStyle w:val="ListParagraph"/>
        <w:numPr>
          <w:ilvl w:val="0"/>
          <w:numId w:val="13"/>
        </w:numPr>
        <w:jc w:val="both"/>
        <w:rPr>
          <w:rFonts w:ascii="Book Antiqua" w:eastAsia="Book Antiqua" w:hAnsi="Book Antiqua" w:cs="Book Antiqua"/>
          <w:lang w:val="es-PR"/>
        </w:rPr>
      </w:pPr>
      <w:r w:rsidRPr="00B85B25">
        <w:rPr>
          <w:rFonts w:ascii="Book Antiqua" w:eastAsia="Book Antiqua" w:hAnsi="Book Antiqua" w:cs="Book Antiqua"/>
          <w:lang w:val="es-PR"/>
        </w:rPr>
        <w:t>Departamento de Seguridad Pública</w:t>
      </w:r>
      <w:r w:rsidR="003B38A4" w:rsidRPr="00B85B25">
        <w:rPr>
          <w:rFonts w:ascii="Book Antiqua" w:eastAsia="Book Antiqua" w:hAnsi="Book Antiqua" w:cs="Book Antiqua"/>
          <w:lang w:val="es-PR"/>
        </w:rPr>
        <w:tab/>
      </w:r>
    </w:p>
    <w:p w14:paraId="7723AC70" w14:textId="77777777" w:rsidR="00B62EFA" w:rsidRDefault="00B62EFA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4070F012" w14:textId="353ED974" w:rsidR="003B38A4" w:rsidRP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  <w:r w:rsidRPr="003B38A4">
        <w:rPr>
          <w:rFonts w:ascii="Book Antiqua" w:eastAsia="Book Antiqua" w:hAnsi="Book Antiqua" w:cs="Book Antiqua"/>
          <w:lang w:val="es-PR"/>
        </w:rPr>
        <w:t>Contando con el beneficio de sus memoriales, esta Comisión pudo hacer el análisis de la medida</w:t>
      </w:r>
      <w:r w:rsidR="00B62EFA">
        <w:rPr>
          <w:rFonts w:ascii="Book Antiqua" w:eastAsia="Book Antiqua" w:hAnsi="Book Antiqua" w:cs="Book Antiqua"/>
          <w:lang w:val="es-PR"/>
        </w:rPr>
        <w:t xml:space="preserve"> y realizar la debida recomendación</w:t>
      </w:r>
      <w:r w:rsidRPr="003B38A4">
        <w:rPr>
          <w:rFonts w:ascii="Book Antiqua" w:eastAsia="Book Antiqua" w:hAnsi="Book Antiqua" w:cs="Book Antiqua"/>
          <w:lang w:val="es-PR"/>
        </w:rPr>
        <w:t>.</w:t>
      </w:r>
    </w:p>
    <w:p w14:paraId="47B6A693" w14:textId="77777777" w:rsidR="003B38A4" w:rsidRP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3F85FD3E" w14:textId="3350AD45" w:rsidR="00977DC2" w:rsidRDefault="00B85B25" w:rsidP="003B38A4">
      <w:pPr>
        <w:jc w:val="both"/>
        <w:rPr>
          <w:rFonts w:ascii="Book Antiqua" w:eastAsia="Book Antiqua" w:hAnsi="Book Antiqua" w:cs="Book Antiqua"/>
          <w:lang w:val="es-PR"/>
        </w:rPr>
      </w:pPr>
      <w:r>
        <w:rPr>
          <w:rFonts w:ascii="Book Antiqua" w:eastAsia="Book Antiqua" w:hAnsi="Book Antiqua" w:cs="Book Antiqua"/>
          <w:b/>
          <w:bCs/>
          <w:lang w:val="es-PR"/>
        </w:rPr>
        <w:t xml:space="preserve">El Departamento de Salud, </w:t>
      </w:r>
      <w:r w:rsidR="003B38A4" w:rsidRPr="003B38A4">
        <w:rPr>
          <w:rFonts w:ascii="Book Antiqua" w:eastAsia="Book Antiqua" w:hAnsi="Book Antiqua" w:cs="Book Antiqua"/>
          <w:lang w:val="es-PR"/>
        </w:rPr>
        <w:t xml:space="preserve">por voz de su </w:t>
      </w:r>
      <w:r>
        <w:rPr>
          <w:rFonts w:ascii="Book Antiqua" w:eastAsia="Book Antiqua" w:hAnsi="Book Antiqua" w:cs="Book Antiqua"/>
          <w:lang w:val="es-PR"/>
        </w:rPr>
        <w:t>secretario</w:t>
      </w:r>
      <w:r w:rsidR="00D95C66">
        <w:rPr>
          <w:rFonts w:ascii="Book Antiqua" w:eastAsia="Book Antiqua" w:hAnsi="Book Antiqua" w:cs="Book Antiqua"/>
          <w:lang w:val="es-PR"/>
        </w:rPr>
        <w:t>,</w:t>
      </w:r>
      <w:r w:rsidR="003B38A4" w:rsidRPr="003B38A4">
        <w:rPr>
          <w:rFonts w:ascii="Book Antiqua" w:eastAsia="Book Antiqua" w:hAnsi="Book Antiqua" w:cs="Book Antiqua"/>
          <w:lang w:val="es-PR"/>
        </w:rPr>
        <w:t xml:space="preserve"> </w:t>
      </w:r>
      <w:r w:rsidR="00B62EFA">
        <w:rPr>
          <w:rFonts w:ascii="Book Antiqua" w:eastAsia="Book Antiqua" w:hAnsi="Book Antiqua" w:cs="Book Antiqua"/>
          <w:lang w:val="es-PR"/>
        </w:rPr>
        <w:t xml:space="preserve">el </w:t>
      </w:r>
      <w:r w:rsidR="00977DC2">
        <w:rPr>
          <w:rFonts w:ascii="Book Antiqua" w:eastAsia="Book Antiqua" w:hAnsi="Book Antiqua" w:cs="Book Antiqua"/>
          <w:lang w:val="es-PR"/>
        </w:rPr>
        <w:t>Dr. Carlos Mellado</w:t>
      </w:r>
      <w:r w:rsidR="00D95C66">
        <w:rPr>
          <w:rFonts w:ascii="Book Antiqua" w:eastAsia="Book Antiqua" w:hAnsi="Book Antiqua" w:cs="Book Antiqua"/>
          <w:lang w:val="es-PR"/>
        </w:rPr>
        <w:t xml:space="preserve">, </w:t>
      </w:r>
      <w:r w:rsidR="00977DC2">
        <w:rPr>
          <w:rFonts w:ascii="Book Antiqua" w:eastAsia="Book Antiqua" w:hAnsi="Book Antiqua" w:cs="Book Antiqua"/>
          <w:lang w:val="es-PR"/>
        </w:rPr>
        <w:t>presentaron su endoso a la medida, brindando deferencia al Departamento de Asuntos del Consumidor.  Estos, nos presentaron una idea general del estatus legal del Cannabis y sus derivados, en su memorial explicativo indicaron:</w:t>
      </w:r>
    </w:p>
    <w:p w14:paraId="4B90903D" w14:textId="77777777" w:rsidR="00977DC2" w:rsidRPr="00977DC2" w:rsidRDefault="00977DC2" w:rsidP="00977DC2">
      <w:pPr>
        <w:ind w:left="720"/>
        <w:jc w:val="both"/>
        <w:rPr>
          <w:rFonts w:ascii="Book Antiqua" w:eastAsia="Book Antiqua" w:hAnsi="Book Antiqua" w:cs="Book Antiqua"/>
          <w:i/>
          <w:lang w:val="es-PR"/>
        </w:rPr>
      </w:pPr>
      <w:r w:rsidRPr="00977DC2">
        <w:rPr>
          <w:rFonts w:ascii="Book Antiqua" w:eastAsia="Book Antiqua" w:hAnsi="Book Antiqua" w:cs="Book Antiqua"/>
          <w:i/>
          <w:lang w:val="es-PR"/>
        </w:rPr>
        <w:t xml:space="preserve">Aunque el Cannabis mantiene su ilegalidad a nivel federal, los estados han establecido el marco regulatorio para su legalización, ya sea para fines medicinales o recreacionales. No obstante, el Congreso Federal, luego de la aprobación del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Agriculture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Improvement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Act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0/2018, Pub. L, 115334, también conocida como el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Farm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Bill, eliminó el Cáñamo Industrial o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llenap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y todos los derivados del Cannabis que contengan una concentración de no más de 0.3% de delta-9tetrahidrocannabidiol (THC) del listado de drogas con Clasificación I bajo el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Controlled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Substances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Act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(CSA, por sus siglas en inglés), A estos efectos, el cáñamo industrial y productos derivados del Cannabis, incluyendo el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carmabidiol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(CBD), ya no son considerados sustancias controladas bajo esta ley federal.</w:t>
      </w:r>
    </w:p>
    <w:p w14:paraId="14A5FE54" w14:textId="77777777" w:rsidR="00977DC2" w:rsidRDefault="00977DC2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023CEC6D" w14:textId="584E98CA" w:rsidR="00977DC2" w:rsidRDefault="00977DC2" w:rsidP="00977DC2">
      <w:pPr>
        <w:ind w:left="720"/>
        <w:jc w:val="both"/>
        <w:rPr>
          <w:rFonts w:ascii="Book Antiqua" w:eastAsia="Book Antiqua" w:hAnsi="Book Antiqua" w:cs="Book Antiqua"/>
          <w:i/>
          <w:lang w:val="es-PR"/>
        </w:rPr>
      </w:pPr>
      <w:r w:rsidRPr="00977DC2">
        <w:rPr>
          <w:rFonts w:ascii="Book Antiqua" w:eastAsia="Book Antiqua" w:hAnsi="Book Antiqua" w:cs="Book Antiqua"/>
          <w:i/>
          <w:lang w:val="es-PR"/>
        </w:rPr>
        <w:t xml:space="preserve">Luego de la promulgación del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Farm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Bill en el 2018, el Departamento de Salud emitió la Carta Circular Núm. OSS-OO I -2020 (Carta) con el propósito de definir los parámetros de la distribución y venta de productos derivados del cáñamo industrial, incluyendo el CBD y que, a su vez, estos no caen bajo la jurisdicción de la JRCM. En el ámbito federal, aun cuando la legalidad del cáñamo ya no está en controversia, los productos del CBD están sujetos a las mismas leyes y requisitos que los productos regulados por la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Food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and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Drug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Administration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(FDA) como cualquier otra sustancia.</w:t>
      </w:r>
    </w:p>
    <w:p w14:paraId="5A486169" w14:textId="77777777" w:rsidR="00977DC2" w:rsidRPr="00977DC2" w:rsidRDefault="00977DC2" w:rsidP="00977DC2">
      <w:pPr>
        <w:ind w:left="720"/>
        <w:jc w:val="both"/>
        <w:rPr>
          <w:rFonts w:ascii="Book Antiqua" w:eastAsia="Book Antiqua" w:hAnsi="Book Antiqua" w:cs="Book Antiqua"/>
          <w:i/>
          <w:lang w:val="es-PR"/>
        </w:rPr>
      </w:pPr>
    </w:p>
    <w:p w14:paraId="7646B38A" w14:textId="33493D54" w:rsidR="00977DC2" w:rsidRPr="00977DC2" w:rsidRDefault="00977DC2" w:rsidP="00977DC2">
      <w:pPr>
        <w:ind w:left="720"/>
        <w:jc w:val="both"/>
        <w:rPr>
          <w:rFonts w:ascii="Book Antiqua" w:eastAsia="Book Antiqua" w:hAnsi="Book Antiqua" w:cs="Book Antiqua"/>
          <w:i/>
          <w:lang w:val="es-PR"/>
        </w:rPr>
      </w:pPr>
      <w:r w:rsidRPr="00977DC2">
        <w:rPr>
          <w:rFonts w:ascii="Book Antiqua" w:eastAsia="Book Antiqua" w:hAnsi="Book Antiqua" w:cs="Book Antiqua"/>
          <w:i/>
          <w:lang w:val="es-PR"/>
        </w:rPr>
        <w:t xml:space="preserve">Por tanto, según la FDA, es ilegal comercializar el CBD en alimentos o etiquetarlos como un suplemento alimenticio, Además, la FDA y el Federal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Trade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Commission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(FTC), mediante un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Memorandum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of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Understanding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(MOU), tienen jurisdicción concurrente en la fiscalización de la venta de productos fraudulentos a consumidores. Como parte de su responsabilidad principal, la FDA fiscaliza el etiquetado de los productos, y la FTC se encarga de la publicidad y mercadeo. Inclusive, ambas agencias pueden emitir cartas de advertencias ("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Warning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 xml:space="preserve"> </w:t>
      </w:r>
      <w:proofErr w:type="spellStart"/>
      <w:r w:rsidRPr="00977DC2">
        <w:rPr>
          <w:rFonts w:ascii="Book Antiqua" w:eastAsia="Book Antiqua" w:hAnsi="Book Antiqua" w:cs="Book Antiqua"/>
          <w:i/>
          <w:lang w:val="es-PR"/>
        </w:rPr>
        <w:t>Letters</w:t>
      </w:r>
      <w:proofErr w:type="spellEnd"/>
      <w:r w:rsidRPr="00977DC2">
        <w:rPr>
          <w:rFonts w:ascii="Book Antiqua" w:eastAsia="Book Antiqua" w:hAnsi="Book Antiqua" w:cs="Book Antiqua"/>
          <w:i/>
          <w:lang w:val="es-PR"/>
        </w:rPr>
        <w:t>") conjuntamente</w:t>
      </w:r>
      <w:r>
        <w:rPr>
          <w:rFonts w:ascii="Book Antiqua" w:eastAsia="Book Antiqua" w:hAnsi="Book Antiqua" w:cs="Book Antiqua"/>
          <w:i/>
          <w:lang w:val="es-PR"/>
        </w:rPr>
        <w:t>”</w:t>
      </w:r>
      <w:r w:rsidRPr="00977DC2">
        <w:rPr>
          <w:rFonts w:ascii="Book Antiqua" w:eastAsia="Book Antiqua" w:hAnsi="Book Antiqua" w:cs="Book Antiqua"/>
          <w:i/>
          <w:lang w:val="es-PR"/>
        </w:rPr>
        <w:t>.</w:t>
      </w:r>
    </w:p>
    <w:p w14:paraId="118742FA" w14:textId="77777777" w:rsidR="00977DC2" w:rsidRDefault="00977DC2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4257B36C" w14:textId="62AB4AE8" w:rsidR="00977DC2" w:rsidRDefault="00977DC2" w:rsidP="00977DC2">
      <w:pPr>
        <w:jc w:val="both"/>
        <w:rPr>
          <w:rFonts w:ascii="Book Antiqua" w:eastAsia="Book Antiqua" w:hAnsi="Book Antiqua" w:cs="Book Antiqua"/>
          <w:lang w:val="es-PR"/>
        </w:rPr>
      </w:pPr>
      <w:r>
        <w:rPr>
          <w:rFonts w:ascii="Book Antiqua" w:eastAsia="Book Antiqua" w:hAnsi="Book Antiqua" w:cs="Book Antiqua"/>
          <w:lang w:val="es-PR"/>
        </w:rPr>
        <w:t xml:space="preserve">A tales efectos, indicaron que la </w:t>
      </w:r>
      <w:r w:rsidRPr="00977DC2">
        <w:rPr>
          <w:rFonts w:ascii="Book Antiqua" w:eastAsia="Book Antiqua" w:hAnsi="Book Antiqua" w:cs="Book Antiqua"/>
          <w:lang w:val="es-PR"/>
        </w:rPr>
        <w:t xml:space="preserve">Junta </w:t>
      </w:r>
      <w:proofErr w:type="spellStart"/>
      <w:r w:rsidRPr="00977DC2">
        <w:rPr>
          <w:rFonts w:ascii="Book Antiqua" w:eastAsia="Book Antiqua" w:hAnsi="Book Antiqua" w:cs="Book Antiqua"/>
          <w:lang w:val="es-PR"/>
        </w:rPr>
        <w:t>Reglamentadora</w:t>
      </w:r>
      <w:proofErr w:type="spellEnd"/>
      <w:r w:rsidRPr="00977DC2">
        <w:rPr>
          <w:rFonts w:ascii="Book Antiqua" w:eastAsia="Book Antiqua" w:hAnsi="Book Antiqua" w:cs="Book Antiqua"/>
          <w:lang w:val="es-PR"/>
        </w:rPr>
        <w:t xml:space="preserve"> de Cannabis Medicinal se ha encargado de desarrollar e implementar la política pública relacionada al Cannabis Medicinal, mas no así en cuanto al cáñamo industrial.</w:t>
      </w:r>
    </w:p>
    <w:p w14:paraId="40CDAC79" w14:textId="052E8DCB" w:rsidR="00977DC2" w:rsidRDefault="00977DC2" w:rsidP="00977DC2">
      <w:pPr>
        <w:jc w:val="both"/>
        <w:rPr>
          <w:rFonts w:ascii="Book Antiqua" w:eastAsia="Book Antiqua" w:hAnsi="Book Antiqua" w:cs="Book Antiqua"/>
          <w:lang w:val="es-PR"/>
        </w:rPr>
      </w:pPr>
    </w:p>
    <w:p w14:paraId="66024C3B" w14:textId="4A54B297" w:rsidR="00977DC2" w:rsidRDefault="00977DC2" w:rsidP="00977DC2">
      <w:pPr>
        <w:jc w:val="both"/>
        <w:rPr>
          <w:rFonts w:ascii="Book Antiqua" w:eastAsia="Book Antiqua" w:hAnsi="Book Antiqua" w:cs="Book Antiqua"/>
          <w:lang w:val="es-PR"/>
        </w:rPr>
      </w:pPr>
      <w:r>
        <w:rPr>
          <w:rFonts w:ascii="Book Antiqua" w:eastAsia="Book Antiqua" w:hAnsi="Book Antiqua" w:cs="Book Antiqua"/>
          <w:lang w:val="es-PR"/>
        </w:rPr>
        <w:t xml:space="preserve">En carta separada, </w:t>
      </w:r>
      <w:r w:rsidR="00802900">
        <w:rPr>
          <w:rFonts w:ascii="Book Antiqua" w:eastAsia="Book Antiqua" w:hAnsi="Book Antiqua" w:cs="Book Antiqua"/>
          <w:lang w:val="es-PR"/>
        </w:rPr>
        <w:t xml:space="preserve">firmada por la Directora de </w:t>
      </w:r>
      <w:r>
        <w:rPr>
          <w:rFonts w:ascii="Book Antiqua" w:eastAsia="Book Antiqua" w:hAnsi="Book Antiqua" w:cs="Book Antiqua"/>
          <w:lang w:val="es-PR"/>
        </w:rPr>
        <w:t xml:space="preserve">la </w:t>
      </w:r>
      <w:r w:rsidRPr="00977DC2">
        <w:rPr>
          <w:rFonts w:ascii="Book Antiqua" w:eastAsia="Book Antiqua" w:hAnsi="Book Antiqua" w:cs="Book Antiqua"/>
          <w:lang w:val="es-PR"/>
        </w:rPr>
        <w:t xml:space="preserve">Junta </w:t>
      </w:r>
      <w:proofErr w:type="spellStart"/>
      <w:r w:rsidRPr="00977DC2">
        <w:rPr>
          <w:rFonts w:ascii="Book Antiqua" w:eastAsia="Book Antiqua" w:hAnsi="Book Antiqua" w:cs="Book Antiqua"/>
          <w:lang w:val="es-PR"/>
        </w:rPr>
        <w:t>Reglamentadora</w:t>
      </w:r>
      <w:proofErr w:type="spellEnd"/>
      <w:r w:rsidRPr="00977DC2">
        <w:rPr>
          <w:rFonts w:ascii="Book Antiqua" w:eastAsia="Book Antiqua" w:hAnsi="Book Antiqua" w:cs="Book Antiqua"/>
          <w:lang w:val="es-PR"/>
        </w:rPr>
        <w:t xml:space="preserve"> de Cannabis Medicinal</w:t>
      </w:r>
      <w:r>
        <w:rPr>
          <w:rFonts w:ascii="Book Antiqua" w:eastAsia="Book Antiqua" w:hAnsi="Book Antiqua" w:cs="Book Antiqua"/>
          <w:lang w:val="es-PR"/>
        </w:rPr>
        <w:t xml:space="preserve">, </w:t>
      </w:r>
      <w:r w:rsidR="00802900">
        <w:rPr>
          <w:rFonts w:ascii="Book Antiqua" w:eastAsia="Book Antiqua" w:hAnsi="Book Antiqua" w:cs="Book Antiqua"/>
          <w:lang w:val="es-PR"/>
        </w:rPr>
        <w:t xml:space="preserve">la Lcda. Arlene </w:t>
      </w:r>
      <w:proofErr w:type="spellStart"/>
      <w:r w:rsidR="00802900">
        <w:rPr>
          <w:rFonts w:ascii="Book Antiqua" w:eastAsia="Book Antiqua" w:hAnsi="Book Antiqua" w:cs="Book Antiqua"/>
          <w:lang w:val="es-PR"/>
        </w:rPr>
        <w:t>Questell</w:t>
      </w:r>
      <w:proofErr w:type="spellEnd"/>
      <w:r w:rsidR="00802900">
        <w:rPr>
          <w:rFonts w:ascii="Book Antiqua" w:eastAsia="Book Antiqua" w:hAnsi="Book Antiqua" w:cs="Book Antiqua"/>
          <w:lang w:val="es-PR"/>
        </w:rPr>
        <w:t xml:space="preserve"> Aguirre, </w:t>
      </w:r>
      <w:r>
        <w:rPr>
          <w:rFonts w:ascii="Book Antiqua" w:eastAsia="Book Antiqua" w:hAnsi="Book Antiqua" w:cs="Book Antiqua"/>
          <w:lang w:val="es-PR"/>
        </w:rPr>
        <w:t>estableció estar de acuerdo a la</w:t>
      </w:r>
      <w:r w:rsidR="00802900">
        <w:rPr>
          <w:rFonts w:ascii="Book Antiqua" w:eastAsia="Book Antiqua" w:hAnsi="Book Antiqua" w:cs="Book Antiqua"/>
          <w:lang w:val="es-PR"/>
        </w:rPr>
        <w:t>s</w:t>
      </w:r>
      <w:r>
        <w:rPr>
          <w:rFonts w:ascii="Book Antiqua" w:eastAsia="Book Antiqua" w:hAnsi="Book Antiqua" w:cs="Book Antiqua"/>
          <w:lang w:val="es-PR"/>
        </w:rPr>
        <w:t xml:space="preserve"> expresiones </w:t>
      </w:r>
      <w:r>
        <w:rPr>
          <w:rFonts w:ascii="Book Antiqua" w:eastAsia="Book Antiqua" w:hAnsi="Book Antiqua" w:cs="Book Antiqua"/>
          <w:lang w:val="es-PR"/>
        </w:rPr>
        <w:lastRenderedPageBreak/>
        <w:t>vertidas por el Departamento de Salud y que no estarían emitiendo un memorial explicativo por separado.</w:t>
      </w:r>
      <w:r w:rsidR="00802900">
        <w:rPr>
          <w:rFonts w:ascii="Book Antiqua" w:eastAsia="Book Antiqua" w:hAnsi="Book Antiqua" w:cs="Book Antiqua"/>
          <w:lang w:val="es-PR"/>
        </w:rPr>
        <w:t xml:space="preserve">  Esta indicó:</w:t>
      </w:r>
    </w:p>
    <w:p w14:paraId="7DB59AE8" w14:textId="37D7DCF4" w:rsidR="00802900" w:rsidRPr="00802900" w:rsidRDefault="00802900" w:rsidP="00802900">
      <w:pPr>
        <w:ind w:left="720"/>
        <w:jc w:val="both"/>
        <w:rPr>
          <w:rFonts w:ascii="Book Antiqua" w:eastAsia="Book Antiqua" w:hAnsi="Book Antiqua" w:cs="Book Antiqua"/>
          <w:lang w:val="es-PR"/>
        </w:rPr>
      </w:pPr>
      <w:r>
        <w:rPr>
          <w:rFonts w:ascii="Book Antiqua" w:eastAsia="Book Antiqua" w:hAnsi="Book Antiqua" w:cs="Book Antiqua"/>
          <w:i/>
          <w:lang w:val="es-PR"/>
        </w:rPr>
        <w:t>“</w:t>
      </w:r>
      <w:r w:rsidRPr="00802900">
        <w:rPr>
          <w:rFonts w:ascii="Book Antiqua" w:eastAsia="Book Antiqua" w:hAnsi="Book Antiqua" w:cs="Book Antiqua"/>
          <w:i/>
          <w:lang w:val="es-PR"/>
        </w:rPr>
        <w:t xml:space="preserve">La Oficina de la Junta </w:t>
      </w:r>
      <w:proofErr w:type="spellStart"/>
      <w:r w:rsidRPr="00802900">
        <w:rPr>
          <w:rFonts w:ascii="Book Antiqua" w:eastAsia="Book Antiqua" w:hAnsi="Book Antiqua" w:cs="Book Antiqua"/>
          <w:i/>
          <w:lang w:val="es-PR"/>
        </w:rPr>
        <w:t>Reglamentadora</w:t>
      </w:r>
      <w:proofErr w:type="spellEnd"/>
      <w:r w:rsidRPr="00802900">
        <w:rPr>
          <w:rFonts w:ascii="Book Antiqua" w:eastAsia="Book Antiqua" w:hAnsi="Book Antiqua" w:cs="Book Antiqua"/>
          <w:i/>
          <w:lang w:val="es-PR"/>
        </w:rPr>
        <w:t xml:space="preserve"> del Cannabis Medicinal, adscrita al Departamento de Salud de Puerto Rico tuvo la oportunidad de analizar el Proyecto de la Cámara 597 y a su vez colaborar en la redacción del Memorial Explicativo enviado por el Secretario de Salud, Dr. </w:t>
      </w:r>
      <w:r w:rsidRPr="00802900">
        <w:rPr>
          <w:rFonts w:ascii="Book Antiqua" w:eastAsia="Book Antiqua" w:hAnsi="Book Antiqua" w:cs="Book Antiqua"/>
          <w:lang w:val="es-PR"/>
        </w:rPr>
        <w:t>Carlos R. Mellado López el pasado, 8 de julio del año en curso.</w:t>
      </w:r>
    </w:p>
    <w:p w14:paraId="723CD151" w14:textId="77777777" w:rsidR="00802900" w:rsidRPr="00802900" w:rsidRDefault="00802900" w:rsidP="00802900">
      <w:pPr>
        <w:jc w:val="both"/>
        <w:rPr>
          <w:rFonts w:ascii="Book Antiqua" w:eastAsia="Book Antiqua" w:hAnsi="Book Antiqua" w:cs="Book Antiqua"/>
          <w:lang w:val="es-PR"/>
        </w:rPr>
      </w:pPr>
    </w:p>
    <w:p w14:paraId="3B04B6C9" w14:textId="124B5F7A" w:rsidR="00802900" w:rsidRPr="00802900" w:rsidRDefault="00802900" w:rsidP="00802900">
      <w:pPr>
        <w:ind w:left="720"/>
        <w:jc w:val="both"/>
        <w:rPr>
          <w:rFonts w:ascii="Book Antiqua" w:eastAsia="Book Antiqua" w:hAnsi="Book Antiqua" w:cs="Book Antiqua"/>
          <w:i/>
          <w:lang w:val="es-PR"/>
        </w:rPr>
      </w:pPr>
      <w:r w:rsidRPr="00802900">
        <w:rPr>
          <w:rFonts w:ascii="Book Antiqua" w:eastAsia="Book Antiqua" w:hAnsi="Book Antiqua" w:cs="Book Antiqua"/>
          <w:i/>
          <w:lang w:val="es-PR"/>
        </w:rPr>
        <w:t>Por lo anterior, avalamos los comentarios expresados por el Secretario de Salud en el Memorial Explicativo sobre el Proyecto de la Cámara 597 que se adjunta”.</w:t>
      </w:r>
    </w:p>
    <w:p w14:paraId="74743B3B" w14:textId="5FA8FFE1" w:rsidR="00802900" w:rsidRPr="00977DC2" w:rsidRDefault="00802900" w:rsidP="00977DC2">
      <w:pPr>
        <w:jc w:val="both"/>
        <w:rPr>
          <w:rFonts w:ascii="Book Antiqua" w:eastAsia="Book Antiqua" w:hAnsi="Book Antiqua" w:cs="Book Antiqua"/>
          <w:lang w:val="es-PR"/>
        </w:rPr>
      </w:pPr>
    </w:p>
    <w:p w14:paraId="55B94EAB" w14:textId="77777777" w:rsidR="00977DC2" w:rsidRDefault="00977DC2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3412C471" w14:textId="14DE4C77" w:rsidR="00802900" w:rsidRPr="00802900" w:rsidRDefault="00802900" w:rsidP="00802900">
      <w:pPr>
        <w:jc w:val="both"/>
        <w:rPr>
          <w:rFonts w:ascii="Book Antiqua" w:eastAsia="Book Antiqua" w:hAnsi="Book Antiqua" w:cs="Book Antiqua"/>
          <w:lang w:val="es-PR"/>
        </w:rPr>
      </w:pPr>
      <w:r>
        <w:rPr>
          <w:rFonts w:ascii="Book Antiqua" w:eastAsia="Book Antiqua" w:hAnsi="Book Antiqua" w:cs="Book Antiqua"/>
          <w:lang w:val="es-PR"/>
        </w:rPr>
        <w:t xml:space="preserve">El </w:t>
      </w:r>
      <w:r w:rsidRPr="00802900">
        <w:rPr>
          <w:rFonts w:ascii="Book Antiqua" w:eastAsia="Book Antiqua" w:hAnsi="Book Antiqua" w:cs="Book Antiqua"/>
          <w:b/>
          <w:lang w:val="es-PR"/>
        </w:rPr>
        <w:t>Departamento de Asuntos del Consumidor</w:t>
      </w:r>
      <w:r>
        <w:rPr>
          <w:rFonts w:ascii="Book Antiqua" w:eastAsia="Book Antiqua" w:hAnsi="Book Antiqua" w:cs="Book Antiqua"/>
          <w:b/>
          <w:lang w:val="es-PR"/>
        </w:rPr>
        <w:t xml:space="preserve">, </w:t>
      </w:r>
      <w:r>
        <w:rPr>
          <w:rFonts w:ascii="Book Antiqua" w:eastAsia="Book Antiqua" w:hAnsi="Book Antiqua" w:cs="Book Antiqua"/>
          <w:lang w:val="es-PR"/>
        </w:rPr>
        <w:t xml:space="preserve">mediante su Secretario, el Lcdo. Edam Rivera Rodríguez, endosan el proyecto presentado, entendiendo que el propósito es meritorio. En su memorial, reafirman que </w:t>
      </w:r>
      <w:r w:rsidRPr="00802900">
        <w:rPr>
          <w:rFonts w:ascii="Book Antiqua" w:eastAsia="Book Antiqua" w:hAnsi="Book Antiqua" w:cs="Book Antiqua"/>
          <w:lang w:val="es-PR"/>
        </w:rPr>
        <w:t xml:space="preserve">el DACO tiene jurisdicción y es la agencia con el andamiaje procesal para atender querellas de anuncios y prácticas engañosas por comercio que venden productos conteniendo CBD derivados del Cáñamo Industrial. </w:t>
      </w:r>
      <w:r>
        <w:rPr>
          <w:rFonts w:ascii="Book Antiqua" w:eastAsia="Book Antiqua" w:hAnsi="Book Antiqua" w:cs="Book Antiqua"/>
          <w:lang w:val="es-PR"/>
        </w:rPr>
        <w:t>Además, que e</w:t>
      </w:r>
      <w:r w:rsidRPr="00802900">
        <w:rPr>
          <w:rFonts w:ascii="Book Antiqua" w:eastAsia="Book Antiqua" w:hAnsi="Book Antiqua" w:cs="Book Antiqua"/>
          <w:lang w:val="es-PR"/>
        </w:rPr>
        <w:t>l Proyecto aclara cualquier duda en jurisdicción y protege a los consumidores de ser inducidos a comprar un producto cual no tiene los beneficios de salud anunciados, o cual pudieran ser perjudiciales.</w:t>
      </w:r>
    </w:p>
    <w:p w14:paraId="24B6B3DA" w14:textId="7B3346EB" w:rsid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79349EC0" w14:textId="4224641E" w:rsidR="00802900" w:rsidRDefault="00694718" w:rsidP="003B38A4">
      <w:pPr>
        <w:jc w:val="both"/>
        <w:rPr>
          <w:rFonts w:ascii="Book Antiqua" w:eastAsia="Book Antiqua" w:hAnsi="Book Antiqua" w:cs="Book Antiqua"/>
          <w:lang w:val="es-PR"/>
        </w:rPr>
      </w:pPr>
      <w:r>
        <w:rPr>
          <w:rFonts w:ascii="Book Antiqua" w:eastAsia="Book Antiqua" w:hAnsi="Book Antiqua" w:cs="Book Antiqua"/>
          <w:lang w:val="es-PR"/>
        </w:rPr>
        <w:t xml:space="preserve">El Secretario Rivera, expresó la importancia del proyecto y recalcó la necesidad de definir las jurisdicciones de cada agencia para poder efectivos en el control de anuncios engañosos, en especial cuando la salud del consumidor está en juego.  </w:t>
      </w:r>
    </w:p>
    <w:p w14:paraId="1A53A67C" w14:textId="346DC6F9" w:rsidR="00694718" w:rsidRPr="00694718" w:rsidRDefault="00694718" w:rsidP="00694718">
      <w:pPr>
        <w:ind w:left="720"/>
        <w:jc w:val="both"/>
        <w:rPr>
          <w:rFonts w:ascii="Book Antiqua" w:eastAsia="Book Antiqua" w:hAnsi="Book Antiqua" w:cs="Book Antiqua"/>
          <w:i/>
          <w:lang w:val="es-PR"/>
        </w:rPr>
      </w:pPr>
      <w:r w:rsidRPr="00694718">
        <w:rPr>
          <w:rFonts w:ascii="Book Antiqua" w:eastAsia="Book Antiqua" w:hAnsi="Book Antiqua" w:cs="Book Antiqua"/>
          <w:i/>
          <w:lang w:val="es-PR"/>
        </w:rPr>
        <w:t xml:space="preserve">El objetivo del Proyecto ante consideración de esta Honorable Comisión es uno meritorio. Como agencia, compartimos la preocupación señalada en torno a la venta en comercios de productos altos en el </w:t>
      </w:r>
      <w:r w:rsidR="005A1F13">
        <w:rPr>
          <w:rFonts w:ascii="Book Antiqua" w:eastAsia="Book Antiqua" w:hAnsi="Book Antiqua" w:cs="Book Antiqua"/>
          <w:i/>
          <w:lang w:val="es-PR"/>
        </w:rPr>
        <w:t>CB</w:t>
      </w:r>
      <w:r w:rsidRPr="00694718">
        <w:rPr>
          <w:rFonts w:ascii="Book Antiqua" w:eastAsia="Book Antiqua" w:hAnsi="Book Antiqua" w:cs="Book Antiqua"/>
          <w:i/>
          <w:lang w:val="es-PR"/>
        </w:rPr>
        <w:t xml:space="preserve">D derivados del cáñamo industrial, promocionados como aquellos que provienen del cannabis medicinal y teniendo propiedades curativas. DACO es la agencia con la experiencia y conocimiento fiscalizando anuncios y prácticas engañosas. Por otra parte, la Junta </w:t>
      </w:r>
      <w:proofErr w:type="spellStart"/>
      <w:r w:rsidRPr="00694718">
        <w:rPr>
          <w:rFonts w:ascii="Book Antiqua" w:eastAsia="Book Antiqua" w:hAnsi="Book Antiqua" w:cs="Book Antiqua"/>
          <w:i/>
          <w:lang w:val="es-PR"/>
        </w:rPr>
        <w:t>Reglamentadora</w:t>
      </w:r>
      <w:proofErr w:type="spellEnd"/>
      <w:r w:rsidRPr="00694718">
        <w:rPr>
          <w:rFonts w:ascii="Book Antiqua" w:eastAsia="Book Antiqua" w:hAnsi="Book Antiqua" w:cs="Book Antiqua"/>
          <w:i/>
          <w:lang w:val="es-PR"/>
        </w:rPr>
        <w:t xml:space="preserve"> del Cannabis Medicinal adscrita al Departamento de Salud, es la entidad encargada de administrar el programa de Cannabis Medicinal y fiscalizar el mismo de acuerdo a la ley y reglamentación vigente. Esta situación ha causado confusión en cuanto a la entidad responsable para regular la venta de productos altos en CBD en comercios que no son dispensarios autorizados por la Junta </w:t>
      </w:r>
      <w:proofErr w:type="spellStart"/>
      <w:r w:rsidRPr="00694718">
        <w:rPr>
          <w:rFonts w:ascii="Book Antiqua" w:eastAsia="Book Antiqua" w:hAnsi="Book Antiqua" w:cs="Book Antiqua"/>
          <w:i/>
          <w:lang w:val="es-PR"/>
        </w:rPr>
        <w:t>Reglamentadora</w:t>
      </w:r>
      <w:proofErr w:type="spellEnd"/>
      <w:r w:rsidRPr="00694718">
        <w:rPr>
          <w:rFonts w:ascii="Book Antiqua" w:eastAsia="Book Antiqua" w:hAnsi="Book Antiqua" w:cs="Book Antiqua"/>
          <w:i/>
          <w:lang w:val="es-PR"/>
        </w:rPr>
        <w:t xml:space="preserve"> del Cannabis Medicinal.</w:t>
      </w:r>
    </w:p>
    <w:p w14:paraId="1CDD635B" w14:textId="458AE9D8" w:rsidR="00802900" w:rsidRPr="00694718" w:rsidRDefault="00694718" w:rsidP="00694718">
      <w:pPr>
        <w:ind w:left="720"/>
        <w:jc w:val="both"/>
        <w:rPr>
          <w:rFonts w:ascii="Book Antiqua" w:eastAsia="Book Antiqua" w:hAnsi="Book Antiqua" w:cs="Book Antiqua"/>
          <w:i/>
          <w:lang w:val="es-PR"/>
        </w:rPr>
      </w:pPr>
      <w:r w:rsidRPr="00694718">
        <w:rPr>
          <w:rFonts w:ascii="Book Antiqua" w:eastAsia="Book Antiqua" w:hAnsi="Book Antiqua" w:cs="Book Antiqua"/>
          <w:i/>
          <w:lang w:val="es-PR"/>
        </w:rPr>
        <w:t>Los objetivos del P. de la C. 597 son cónsonos con aquellos que, como Departamento, perseguimos. DACO prohíbe la representación o expresión de un hecho u oferta engañosa o falsa, cual posee la tendencia o capacidad para confundir, sin información suficiente para sustentarla o se ocultare un dato relevante. Además, prohíbe valerse de información falsa, no comprobada científicamente, o cuya veracidad no se pueda constatar, para promocionar cualquier tipo de alimento, bebida o suplemento e</w:t>
      </w:r>
      <w:r>
        <w:rPr>
          <w:rFonts w:ascii="Book Antiqua" w:eastAsia="Book Antiqua" w:hAnsi="Book Antiqua" w:cs="Book Antiqua"/>
          <w:i/>
          <w:lang w:val="es-PR"/>
        </w:rPr>
        <w:t xml:space="preserve"> </w:t>
      </w:r>
      <w:r w:rsidRPr="00694718">
        <w:rPr>
          <w:rFonts w:ascii="Book Antiqua" w:eastAsia="Book Antiqua" w:hAnsi="Book Antiqua" w:cs="Book Antiqua"/>
          <w:i/>
          <w:lang w:val="es-PR"/>
        </w:rPr>
        <w:t>inducir al consumidor a adquirir tales productos sin evidencia alguna que respalde los atributos promocionados o bajo la creencia de que lograra ci</w:t>
      </w:r>
      <w:r>
        <w:rPr>
          <w:rFonts w:ascii="Book Antiqua" w:eastAsia="Book Antiqua" w:hAnsi="Book Antiqua" w:cs="Book Antiqua"/>
          <w:i/>
          <w:lang w:val="es-PR"/>
        </w:rPr>
        <w:t>ertos resultados no comprobados.</w:t>
      </w:r>
      <w:r w:rsidRPr="00694718">
        <w:rPr>
          <w:rFonts w:ascii="Book Antiqua" w:eastAsia="Book Antiqua" w:hAnsi="Book Antiqua" w:cs="Book Antiqua"/>
          <w:i/>
          <w:lang w:val="es-PR"/>
        </w:rPr>
        <w:t xml:space="preserve"> Por tal razón, recomendamos favorablemente la aprobación del Proyecto.</w:t>
      </w:r>
    </w:p>
    <w:p w14:paraId="3ED8C845" w14:textId="595A1677" w:rsidR="00802900" w:rsidRDefault="00802900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701CB29D" w14:textId="77777777" w:rsidR="00802900" w:rsidRPr="00802900" w:rsidRDefault="00802900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68357634" w14:textId="176A89C4" w:rsidR="00694718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  <w:r w:rsidRPr="003B38A4">
        <w:rPr>
          <w:rFonts w:ascii="Book Antiqua" w:eastAsia="Book Antiqua" w:hAnsi="Book Antiqua" w:cs="Book Antiqua"/>
          <w:lang w:val="es-PR"/>
        </w:rPr>
        <w:t xml:space="preserve"> </w:t>
      </w:r>
      <w:r w:rsidR="004512E8">
        <w:rPr>
          <w:rFonts w:ascii="Book Antiqua" w:eastAsia="Book Antiqua" w:hAnsi="Book Antiqua" w:cs="Book Antiqua"/>
          <w:lang w:val="es-PR"/>
        </w:rPr>
        <w:t xml:space="preserve">El Secretario del </w:t>
      </w:r>
      <w:r w:rsidR="00694718" w:rsidRPr="004512E8">
        <w:rPr>
          <w:rFonts w:ascii="Book Antiqua" w:eastAsia="Book Antiqua" w:hAnsi="Book Antiqua" w:cs="Book Antiqua"/>
          <w:b/>
          <w:lang w:val="es-PR"/>
        </w:rPr>
        <w:t>Negociado de Seguridad Pública</w:t>
      </w:r>
      <w:r w:rsidR="00694718">
        <w:rPr>
          <w:rFonts w:ascii="Book Antiqua" w:eastAsia="Book Antiqua" w:hAnsi="Book Antiqua" w:cs="Book Antiqua"/>
          <w:lang w:val="es-PR"/>
        </w:rPr>
        <w:t xml:space="preserve">, Sr. Alexis Torres Rios, </w:t>
      </w:r>
      <w:r w:rsidR="004512E8">
        <w:rPr>
          <w:rFonts w:ascii="Book Antiqua" w:eastAsia="Book Antiqua" w:hAnsi="Book Antiqua" w:cs="Book Antiqua"/>
          <w:lang w:val="es-PR"/>
        </w:rPr>
        <w:t>presentó su memorial explicativo explicando la reglamentación actual y los límites que deben observarse.  Este endosó el proyecto, manteniendo su deferencia con el Departamento de Salud y el Departamento de Asuntos al Consumidor, indicó:</w:t>
      </w:r>
    </w:p>
    <w:p w14:paraId="78BE05EF" w14:textId="2E7E616A" w:rsidR="004512E8" w:rsidRPr="004512E8" w:rsidRDefault="004512E8" w:rsidP="004512E8">
      <w:pPr>
        <w:ind w:left="720"/>
        <w:jc w:val="both"/>
        <w:rPr>
          <w:rFonts w:ascii="Book Antiqua" w:eastAsia="Book Antiqua" w:hAnsi="Book Antiqua" w:cs="Book Antiqua"/>
          <w:i/>
          <w:lang w:val="es-PR"/>
        </w:rPr>
      </w:pPr>
      <w:r>
        <w:rPr>
          <w:rFonts w:ascii="Book Antiqua" w:eastAsia="Book Antiqua" w:hAnsi="Book Antiqua" w:cs="Book Antiqua"/>
          <w:i/>
          <w:lang w:val="es-PR"/>
        </w:rPr>
        <w:t>“</w:t>
      </w:r>
      <w:r w:rsidRPr="004512E8">
        <w:rPr>
          <w:rFonts w:ascii="Book Antiqua" w:eastAsia="Book Antiqua" w:hAnsi="Book Antiqua" w:cs="Book Antiqua"/>
          <w:i/>
          <w:lang w:val="es-PR"/>
        </w:rPr>
        <w:t xml:space="preserve">Entendemos la preocupación genuina planteada en el P. de la C. 597 y sobre la necesidad de que la ciudadanía no siga siendo víctima de anuncios engañosos, promoviendo productos para mejorar su salud y su calidad de vida. Al amparo de lo establecido en la medida ante nos, será </w:t>
      </w:r>
      <w:r w:rsidRPr="004512E8">
        <w:rPr>
          <w:rFonts w:ascii="Book Antiqua" w:eastAsia="Book Antiqua" w:hAnsi="Book Antiqua" w:cs="Book Antiqua"/>
          <w:i/>
          <w:noProof/>
          <w:lang w:val="en-US"/>
        </w:rPr>
        <w:drawing>
          <wp:inline distT="0" distB="0" distL="0" distR="0" wp14:anchorId="2CF693CB" wp14:editId="0A9090DE">
            <wp:extent cx="3535" cy="3533"/>
            <wp:effectExtent l="0" t="0" r="0" b="0"/>
            <wp:docPr id="9587" name="Picture 9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7" name="Picture 95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12E8">
        <w:rPr>
          <w:rFonts w:ascii="Book Antiqua" w:eastAsia="Book Antiqua" w:hAnsi="Book Antiqua" w:cs="Book Antiqua"/>
          <w:i/>
          <w:lang w:val="es-PR"/>
        </w:rPr>
        <w:t>responsabilidad del Departamento de Asuntos del Consumidor (DACO) reglamentar y fiscalizar</w:t>
      </w:r>
      <w:r w:rsidRPr="004512E8">
        <w:rPr>
          <w:rFonts w:ascii="Book Antiqua" w:eastAsia="Book Antiqua" w:hAnsi="Book Antiqua" w:cs="Book Antiqua"/>
          <w:i/>
          <w:noProof/>
          <w:lang w:val="en-US"/>
        </w:rPr>
        <w:drawing>
          <wp:inline distT="0" distB="0" distL="0" distR="0" wp14:anchorId="67123803" wp14:editId="40FBC11A">
            <wp:extent cx="3535" cy="3532"/>
            <wp:effectExtent l="0" t="0" r="0" b="0"/>
            <wp:docPr id="9588" name="Picture 9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8" name="Picture 95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12E8">
        <w:rPr>
          <w:rFonts w:ascii="Book Antiqua" w:eastAsia="Book Antiqua" w:hAnsi="Book Antiqua" w:cs="Book Antiqua"/>
          <w:i/>
          <w:lang w:val="es-PR"/>
        </w:rPr>
        <w:t xml:space="preserve"> sobre el particular. Por lo que, respetuosamente recomendamos auscultar con el DACO, por su </w:t>
      </w:r>
      <w:proofErr w:type="spellStart"/>
      <w:r w:rsidRPr="004512E8">
        <w:rPr>
          <w:rFonts w:ascii="Book Antiqua" w:eastAsia="Book Antiqua" w:hAnsi="Book Antiqua" w:cs="Book Antiqua"/>
          <w:i/>
          <w:lang w:val="es-PR"/>
        </w:rPr>
        <w:t>expertise</w:t>
      </w:r>
      <w:proofErr w:type="spellEnd"/>
      <w:r w:rsidRPr="004512E8">
        <w:rPr>
          <w:rFonts w:ascii="Book Antiqua" w:eastAsia="Book Antiqua" w:hAnsi="Book Antiqua" w:cs="Book Antiqua"/>
          <w:i/>
          <w:lang w:val="es-PR"/>
        </w:rPr>
        <w:t xml:space="preserve"> como agencia encargada de fiscalizar y reglamentar las prácticas y los anuncios engañosos en Puerto Rico, al igual que con la Secretaría Auxiliar para Reglamentación y </w:t>
      </w:r>
      <w:r w:rsidRPr="004512E8">
        <w:rPr>
          <w:rFonts w:ascii="Book Antiqua" w:eastAsia="Book Antiqua" w:hAnsi="Book Antiqua" w:cs="Book Antiqua"/>
          <w:i/>
          <w:noProof/>
          <w:lang w:val="en-US"/>
        </w:rPr>
        <w:drawing>
          <wp:inline distT="0" distB="0" distL="0" distR="0" wp14:anchorId="3168B22A" wp14:editId="1887BD91">
            <wp:extent cx="3535" cy="7066"/>
            <wp:effectExtent l="0" t="0" r="0" b="0"/>
            <wp:docPr id="11022" name="Picture 11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2" name="Picture 110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12E8">
        <w:rPr>
          <w:rFonts w:ascii="Book Antiqua" w:eastAsia="Book Antiqua" w:hAnsi="Book Antiqua" w:cs="Book Antiqua"/>
          <w:i/>
          <w:lang w:val="es-PR"/>
        </w:rPr>
        <w:t>Acreditación de Facilidades de Salud (SARAFS) del Departamento de Salud conforme a lo establecido en la Carta Circular antes mencionada</w:t>
      </w:r>
      <w:r>
        <w:rPr>
          <w:rFonts w:ascii="Book Antiqua" w:eastAsia="Book Antiqua" w:hAnsi="Book Antiqua" w:cs="Book Antiqua"/>
          <w:i/>
          <w:lang w:val="es-PR"/>
        </w:rPr>
        <w:t>”</w:t>
      </w:r>
      <w:r w:rsidRPr="004512E8">
        <w:rPr>
          <w:rFonts w:ascii="Book Antiqua" w:eastAsia="Book Antiqua" w:hAnsi="Book Antiqua" w:cs="Book Antiqua"/>
          <w:i/>
          <w:lang w:val="es-PR"/>
        </w:rPr>
        <w:t>.</w:t>
      </w:r>
    </w:p>
    <w:p w14:paraId="19C73788" w14:textId="77777777" w:rsidR="004512E8" w:rsidRDefault="004512E8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11F6DC06" w14:textId="77777777" w:rsidR="00694718" w:rsidRDefault="00694718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528F8908" w14:textId="4DF2D275" w:rsidR="003B38A4" w:rsidRPr="004512E8" w:rsidRDefault="003B38A4" w:rsidP="004512E8">
      <w:pPr>
        <w:jc w:val="center"/>
        <w:rPr>
          <w:rFonts w:ascii="Book Antiqua" w:eastAsia="Book Antiqua" w:hAnsi="Book Antiqua" w:cs="Book Antiqua"/>
          <w:b/>
          <w:bCs/>
          <w:lang w:val="es-PR"/>
        </w:rPr>
      </w:pPr>
      <w:r w:rsidRPr="004512E8">
        <w:rPr>
          <w:rFonts w:ascii="Book Antiqua" w:eastAsia="Book Antiqua" w:hAnsi="Book Antiqua" w:cs="Book Antiqua"/>
          <w:b/>
          <w:bCs/>
          <w:lang w:val="es-PR"/>
        </w:rPr>
        <w:t>CONCLUSIÓN</w:t>
      </w:r>
    </w:p>
    <w:p w14:paraId="3BE57315" w14:textId="2C17436D" w:rsidR="004512E8" w:rsidRDefault="004512E8" w:rsidP="004512E8">
      <w:pPr>
        <w:jc w:val="both"/>
        <w:rPr>
          <w:rFonts w:ascii="Book Antiqua" w:eastAsia="Book Antiqua" w:hAnsi="Book Antiqua" w:cs="Book Antiqua"/>
          <w:bCs/>
          <w:lang w:val="es-ES_tradnl"/>
        </w:rPr>
      </w:pPr>
      <w:r w:rsidRPr="004512E8">
        <w:rPr>
          <w:rFonts w:ascii="Book Antiqua" w:eastAsia="Book Antiqua" w:hAnsi="Book Antiqua" w:cs="Book Antiqua"/>
          <w:bCs/>
          <w:lang w:val="es-ES_tradnl"/>
        </w:rPr>
        <w:t xml:space="preserve">La </w:t>
      </w:r>
      <w:r w:rsidRPr="004512E8">
        <w:rPr>
          <w:rFonts w:ascii="Book Antiqua" w:eastAsia="Book Antiqua" w:hAnsi="Book Antiqua" w:cs="Book Antiqua"/>
          <w:bCs/>
          <w:lang w:val="es-PR"/>
        </w:rPr>
        <w:t>Comisión sobre los Derechos del Consumidor, Servicios Bancarios e Industria de Seguros de la Cámara de Representantes</w:t>
      </w:r>
      <w:r w:rsidRPr="004512E8">
        <w:rPr>
          <w:rFonts w:ascii="Book Antiqua" w:eastAsia="Book Antiqua" w:hAnsi="Book Antiqua" w:cs="Book Antiqua"/>
          <w:bCs/>
          <w:lang w:val="es-ES_tradnl"/>
        </w:rPr>
        <w:t xml:space="preserve"> entiende que es de suma importancia proteger a los consumidores de </w:t>
      </w:r>
      <w:r>
        <w:rPr>
          <w:rFonts w:ascii="Book Antiqua" w:eastAsia="Book Antiqua" w:hAnsi="Book Antiqua" w:cs="Book Antiqua"/>
          <w:bCs/>
          <w:lang w:val="es-ES_tradnl"/>
        </w:rPr>
        <w:t xml:space="preserve">prácticas engañosas, en especial si ponen en riesgo la salud y vida de los ciudadanos.  A tales efectos, se endosa positivamente el Proyecto de la Cámara </w:t>
      </w:r>
      <w:r w:rsidR="00F17F1C">
        <w:rPr>
          <w:rFonts w:ascii="Book Antiqua" w:eastAsia="Book Antiqua" w:hAnsi="Book Antiqua" w:cs="Book Antiqua"/>
          <w:bCs/>
          <w:lang w:val="es-ES_tradnl"/>
        </w:rPr>
        <w:t>597.</w:t>
      </w:r>
      <w:r>
        <w:rPr>
          <w:rFonts w:ascii="Book Antiqua" w:eastAsia="Book Antiqua" w:hAnsi="Book Antiqua" w:cs="Book Antiqua"/>
          <w:bCs/>
          <w:lang w:val="es-ES_tradnl"/>
        </w:rPr>
        <w:t xml:space="preserve"> </w:t>
      </w:r>
    </w:p>
    <w:p w14:paraId="55324CE2" w14:textId="77777777" w:rsidR="004512E8" w:rsidRDefault="004512E8" w:rsidP="004512E8">
      <w:pPr>
        <w:jc w:val="both"/>
        <w:rPr>
          <w:rFonts w:ascii="Book Antiqua" w:eastAsia="Book Antiqua" w:hAnsi="Book Antiqua" w:cs="Book Antiqua"/>
          <w:bCs/>
          <w:lang w:val="es-ES_tradnl"/>
        </w:rPr>
      </w:pPr>
    </w:p>
    <w:p w14:paraId="371C3A4C" w14:textId="077004F7" w:rsidR="004512E8" w:rsidRPr="004512E8" w:rsidRDefault="00F17F1C" w:rsidP="004512E8">
      <w:pPr>
        <w:jc w:val="both"/>
        <w:rPr>
          <w:rFonts w:ascii="Book Antiqua" w:eastAsia="Book Antiqua" w:hAnsi="Book Antiqua" w:cs="Book Antiqua"/>
          <w:lang w:val="es-PR"/>
        </w:rPr>
      </w:pPr>
      <w:r>
        <w:rPr>
          <w:rFonts w:ascii="Book Antiqua" w:eastAsia="Book Antiqua" w:hAnsi="Book Antiqua" w:cs="Book Antiqua"/>
          <w:lang w:val="es-PR"/>
        </w:rPr>
        <w:t>S</w:t>
      </w:r>
      <w:r w:rsidR="004512E8" w:rsidRPr="004512E8">
        <w:rPr>
          <w:rFonts w:ascii="Book Antiqua" w:eastAsia="Book Antiqua" w:hAnsi="Book Antiqua" w:cs="Book Antiqua"/>
          <w:lang w:val="es-PR"/>
        </w:rPr>
        <w:t>egún se indica en la exposición de motivos, en Puerto Rico se autorizó el uso medicinal del cannabis, siempre y cuando se cumpla con ciertos requisitos, según establecidos en la Ley 42-2017, según enmendada, conocida como Ley para Manejar el Estudio, Desarrollo e Investigación del Cannabis para la Innovación, Normas Aplicables y Límites (“Ley MEDICINAL”).  Por lo que las personas que cumplan con todos los requisitos y actúen dentro del marco que provee la Ley y los reglamentos que se promulguen conforme a la misma, no estarán sujetas a sanciones penales del Gobierno de Puerto Rico u ordenanzas de cualquier autoridad gubernamental de Puerto Rico.</w:t>
      </w:r>
    </w:p>
    <w:p w14:paraId="50F54C4D" w14:textId="77777777" w:rsidR="004512E8" w:rsidRPr="004512E8" w:rsidRDefault="004512E8" w:rsidP="004512E8">
      <w:pPr>
        <w:jc w:val="both"/>
        <w:rPr>
          <w:rFonts w:ascii="Book Antiqua" w:eastAsia="Book Antiqua" w:hAnsi="Book Antiqua" w:cs="Book Antiqua"/>
          <w:lang w:val="es-PR"/>
        </w:rPr>
      </w:pPr>
    </w:p>
    <w:p w14:paraId="6D7D05E1" w14:textId="77777777" w:rsidR="004512E8" w:rsidRPr="004512E8" w:rsidRDefault="004512E8" w:rsidP="004512E8">
      <w:pPr>
        <w:jc w:val="both"/>
        <w:rPr>
          <w:rFonts w:ascii="Book Antiqua" w:eastAsia="Book Antiqua" w:hAnsi="Book Antiqua" w:cs="Book Antiqua"/>
          <w:lang w:val="es-PR"/>
        </w:rPr>
      </w:pPr>
      <w:r w:rsidRPr="004512E8">
        <w:rPr>
          <w:rFonts w:ascii="Book Antiqua" w:eastAsia="Book Antiqua" w:hAnsi="Book Antiqua" w:cs="Book Antiqua"/>
          <w:lang w:val="es-PR"/>
        </w:rPr>
        <w:t xml:space="preserve">Cónsono con lo anterior, el Artículo 10(d) de la Ley 42-2017, prohibió la venta o transferencia de titularidad de tipo alguno del cannabis, a menos que sea en un dispensario autorizado bajo esta Ley o mediante la entrega que se autoriza al tenedor de la licencia de dispensario, siempre que se cumpla con todos los requisitos estatutarios y de reglamentos que viabilicen esta actividad.   Sin embargo, actualmente nos encontramos con múltiples establecimientos comerciales ubicados en distintos puntos de Puerto Rico que anuncian, ofrecen y dispensan productos ricos en aceites o cápsulas con </w:t>
      </w:r>
      <w:proofErr w:type="spellStart"/>
      <w:r w:rsidRPr="004512E8">
        <w:rPr>
          <w:rFonts w:ascii="Book Antiqua" w:eastAsia="Book Antiqua" w:hAnsi="Book Antiqua" w:cs="Book Antiqua"/>
          <w:lang w:val="es-PR"/>
        </w:rPr>
        <w:t>cannabidiol</w:t>
      </w:r>
      <w:proofErr w:type="spellEnd"/>
      <w:r w:rsidRPr="004512E8">
        <w:rPr>
          <w:rFonts w:ascii="Book Antiqua" w:eastAsia="Book Antiqua" w:hAnsi="Book Antiqua" w:cs="Book Antiqua"/>
          <w:lang w:val="es-PR"/>
        </w:rPr>
        <w:t xml:space="preserve"> (CBD), y los venden haciéndole creer a los consumidores que estos aceites tienen propiedades curativas y son derivados del cannabis medicinal. Ciertamente, la gran mayoría de estos productos que están en venta responden a anuncios y prácticas engañosas en el comercio donde se vende a los consumidores la idea de que están adquiriendo un producto equivalente al cannabis medicinal.  </w:t>
      </w:r>
    </w:p>
    <w:p w14:paraId="7B825E67" w14:textId="77777777" w:rsidR="00F17F1C" w:rsidRDefault="00F17F1C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06C0DF9D" w14:textId="4952AE37" w:rsidR="003B38A4" w:rsidRPr="003B38A4" w:rsidRDefault="004512E8" w:rsidP="003B38A4">
      <w:pPr>
        <w:jc w:val="both"/>
        <w:rPr>
          <w:rFonts w:ascii="Book Antiqua" w:eastAsia="Book Antiqua" w:hAnsi="Book Antiqua" w:cs="Book Antiqua"/>
          <w:lang w:val="es-PR"/>
        </w:rPr>
      </w:pPr>
      <w:r w:rsidRPr="004512E8">
        <w:rPr>
          <w:rFonts w:ascii="Book Antiqua" w:eastAsia="Book Antiqua" w:hAnsi="Book Antiqua" w:cs="Book Antiqua"/>
          <w:lang w:val="es-PR"/>
        </w:rPr>
        <w:t xml:space="preserve">Ante esta situación </w:t>
      </w:r>
      <w:r w:rsidR="00F17F1C">
        <w:rPr>
          <w:rFonts w:ascii="Book Antiqua" w:eastAsia="Book Antiqua" w:hAnsi="Book Antiqua" w:cs="Book Antiqua"/>
          <w:lang w:val="es-PR"/>
        </w:rPr>
        <w:t xml:space="preserve">y entiendo la gravedad del asunto planteado, teniendo en cuenta </w:t>
      </w:r>
      <w:r w:rsidR="003B38A4" w:rsidRPr="003B38A4">
        <w:rPr>
          <w:rFonts w:ascii="Book Antiqua" w:eastAsia="Book Antiqua" w:hAnsi="Book Antiqua" w:cs="Book Antiqua"/>
          <w:bCs/>
          <w:lang w:val="es-PR"/>
        </w:rPr>
        <w:t>los fundamentos antes expuestos</w:t>
      </w:r>
      <w:r w:rsidR="003B38A4" w:rsidRPr="003B38A4">
        <w:rPr>
          <w:rFonts w:ascii="Book Antiqua" w:eastAsia="Book Antiqua" w:hAnsi="Book Antiqua" w:cs="Book Antiqua"/>
          <w:lang w:val="es-PR"/>
        </w:rPr>
        <w:t xml:space="preserve">, la Comisión Sobre los Derechos del Consumidor, Servicios Bancarios e Industria de Seguros, somete el presente Informe Positivo en el que recomendamos a este Honorable Cuerpo la aprobación con enmiendas, del P. de la C. </w:t>
      </w:r>
      <w:r w:rsidR="00F17F1C">
        <w:rPr>
          <w:rFonts w:ascii="Book Antiqua" w:eastAsia="Book Antiqua" w:hAnsi="Book Antiqua" w:cs="Book Antiqua"/>
          <w:lang w:val="es-PR"/>
        </w:rPr>
        <w:t>597</w:t>
      </w:r>
      <w:r w:rsidR="003B38A4" w:rsidRPr="003B38A4">
        <w:rPr>
          <w:rFonts w:ascii="Book Antiqua" w:eastAsia="Book Antiqua" w:hAnsi="Book Antiqua" w:cs="Book Antiqua"/>
          <w:lang w:val="es-PR"/>
        </w:rPr>
        <w:t xml:space="preserve">. </w:t>
      </w:r>
    </w:p>
    <w:p w14:paraId="304F4827" w14:textId="77777777" w:rsidR="003B38A4" w:rsidRP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6C8FC9E5" w14:textId="77777777" w:rsidR="003B38A4" w:rsidRP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  <w:r w:rsidRPr="003B38A4">
        <w:rPr>
          <w:rFonts w:ascii="Book Antiqua" w:eastAsia="Book Antiqua" w:hAnsi="Book Antiqua" w:cs="Book Antiqua"/>
          <w:lang w:val="es-PR"/>
        </w:rPr>
        <w:t>Respetuosamente sometido,</w:t>
      </w:r>
    </w:p>
    <w:p w14:paraId="63414C34" w14:textId="77777777" w:rsidR="003B38A4" w:rsidRP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5B154406" w14:textId="77777777" w:rsidR="003B38A4" w:rsidRP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</w:p>
    <w:p w14:paraId="70EDA1E2" w14:textId="77777777" w:rsidR="003B38A4" w:rsidRP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  <w:proofErr w:type="spellStart"/>
      <w:r w:rsidRPr="003B38A4">
        <w:rPr>
          <w:rFonts w:ascii="Book Antiqua" w:eastAsia="Book Antiqua" w:hAnsi="Book Antiqua" w:cs="Book Antiqua"/>
          <w:lang w:val="es-PR"/>
        </w:rPr>
        <w:t>Hon</w:t>
      </w:r>
      <w:proofErr w:type="spellEnd"/>
      <w:r w:rsidRPr="003B38A4">
        <w:rPr>
          <w:rFonts w:ascii="Book Antiqua" w:eastAsia="Book Antiqua" w:hAnsi="Book Antiqua" w:cs="Book Antiqua"/>
          <w:lang w:val="es-PR"/>
        </w:rPr>
        <w:t>. Estrella Martínez Soto</w:t>
      </w:r>
      <w:r w:rsidRPr="003B38A4">
        <w:rPr>
          <w:rFonts w:ascii="Book Antiqua" w:eastAsia="Book Antiqua" w:hAnsi="Book Antiqua" w:cs="Book Antiqua"/>
          <w:lang w:val="es-PR"/>
        </w:rPr>
        <w:tab/>
      </w:r>
      <w:r w:rsidRPr="003B38A4">
        <w:rPr>
          <w:rFonts w:ascii="Book Antiqua" w:eastAsia="Book Antiqua" w:hAnsi="Book Antiqua" w:cs="Book Antiqua"/>
          <w:lang w:val="es-PR"/>
        </w:rPr>
        <w:tab/>
      </w:r>
      <w:r w:rsidRPr="003B38A4">
        <w:rPr>
          <w:rFonts w:ascii="Book Antiqua" w:eastAsia="Book Antiqua" w:hAnsi="Book Antiqua" w:cs="Book Antiqua"/>
          <w:lang w:val="es-PR"/>
        </w:rPr>
        <w:tab/>
        <w:t xml:space="preserve"> </w:t>
      </w:r>
    </w:p>
    <w:p w14:paraId="6768602C" w14:textId="77777777" w:rsidR="003B38A4" w:rsidRP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  <w:r w:rsidRPr="003B38A4">
        <w:rPr>
          <w:rFonts w:ascii="Book Antiqua" w:eastAsia="Book Antiqua" w:hAnsi="Book Antiqua" w:cs="Book Antiqua"/>
          <w:lang w:val="es-PR"/>
        </w:rPr>
        <w:t>Presidenta</w:t>
      </w:r>
      <w:r w:rsidRPr="003B38A4">
        <w:rPr>
          <w:rFonts w:ascii="Book Antiqua" w:eastAsia="Book Antiqua" w:hAnsi="Book Antiqua" w:cs="Book Antiqua"/>
          <w:lang w:val="es-PR"/>
        </w:rPr>
        <w:tab/>
      </w:r>
      <w:r w:rsidRPr="003B38A4">
        <w:rPr>
          <w:rFonts w:ascii="Book Antiqua" w:eastAsia="Book Antiqua" w:hAnsi="Book Antiqua" w:cs="Book Antiqua"/>
          <w:lang w:val="es-PR"/>
        </w:rPr>
        <w:tab/>
      </w:r>
      <w:r w:rsidRPr="003B38A4">
        <w:rPr>
          <w:rFonts w:ascii="Book Antiqua" w:eastAsia="Book Antiqua" w:hAnsi="Book Antiqua" w:cs="Book Antiqua"/>
          <w:lang w:val="es-PR"/>
        </w:rPr>
        <w:tab/>
      </w:r>
      <w:r w:rsidRPr="003B38A4">
        <w:rPr>
          <w:rFonts w:ascii="Book Antiqua" w:eastAsia="Book Antiqua" w:hAnsi="Book Antiqua" w:cs="Book Antiqua"/>
          <w:lang w:val="es-PR"/>
        </w:rPr>
        <w:tab/>
      </w:r>
      <w:r w:rsidRPr="003B38A4">
        <w:rPr>
          <w:rFonts w:ascii="Book Antiqua" w:eastAsia="Book Antiqua" w:hAnsi="Book Antiqua" w:cs="Book Antiqua"/>
          <w:lang w:val="es-PR"/>
        </w:rPr>
        <w:tab/>
      </w:r>
      <w:r w:rsidRPr="003B38A4">
        <w:rPr>
          <w:rFonts w:ascii="Book Antiqua" w:eastAsia="Book Antiqua" w:hAnsi="Book Antiqua" w:cs="Book Antiqua"/>
          <w:lang w:val="es-PR"/>
        </w:rPr>
        <w:tab/>
      </w:r>
      <w:r w:rsidRPr="003B38A4">
        <w:rPr>
          <w:rFonts w:ascii="Book Antiqua" w:eastAsia="Book Antiqua" w:hAnsi="Book Antiqua" w:cs="Book Antiqua"/>
          <w:lang w:val="es-PR"/>
        </w:rPr>
        <w:tab/>
      </w:r>
      <w:r w:rsidRPr="003B38A4">
        <w:rPr>
          <w:rFonts w:ascii="Book Antiqua" w:eastAsia="Book Antiqua" w:hAnsi="Book Antiqua" w:cs="Book Antiqua"/>
          <w:lang w:val="es-PR"/>
        </w:rPr>
        <w:tab/>
      </w:r>
      <w:r w:rsidRPr="003B38A4">
        <w:rPr>
          <w:rFonts w:ascii="Book Antiqua" w:eastAsia="Book Antiqua" w:hAnsi="Book Antiqua" w:cs="Book Antiqua"/>
          <w:lang w:val="es-PR"/>
        </w:rPr>
        <w:tab/>
      </w:r>
      <w:r w:rsidRPr="003B38A4">
        <w:rPr>
          <w:rFonts w:ascii="Book Antiqua" w:eastAsia="Book Antiqua" w:hAnsi="Book Antiqua" w:cs="Book Antiqua"/>
          <w:lang w:val="es-PR"/>
        </w:rPr>
        <w:tab/>
      </w:r>
    </w:p>
    <w:p w14:paraId="2A3E689A" w14:textId="77777777" w:rsidR="003B38A4" w:rsidRP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  <w:r w:rsidRPr="003B38A4">
        <w:rPr>
          <w:rFonts w:ascii="Book Antiqua" w:eastAsia="Book Antiqua" w:hAnsi="Book Antiqua" w:cs="Book Antiqua"/>
          <w:lang w:val="es-PR"/>
        </w:rPr>
        <w:t xml:space="preserve">Comisión Sobre los Derechos del Consumidor, </w:t>
      </w:r>
    </w:p>
    <w:p w14:paraId="373FB603" w14:textId="77777777" w:rsidR="003B38A4" w:rsidRPr="003B38A4" w:rsidRDefault="003B38A4" w:rsidP="003B38A4">
      <w:pPr>
        <w:jc w:val="both"/>
        <w:rPr>
          <w:rFonts w:ascii="Book Antiqua" w:eastAsia="Book Antiqua" w:hAnsi="Book Antiqua" w:cs="Book Antiqua"/>
          <w:lang w:val="es-PR"/>
        </w:rPr>
      </w:pPr>
      <w:r w:rsidRPr="003B38A4">
        <w:rPr>
          <w:rFonts w:ascii="Book Antiqua" w:eastAsia="Book Antiqua" w:hAnsi="Book Antiqua" w:cs="Book Antiqua"/>
          <w:lang w:val="es-PR"/>
        </w:rPr>
        <w:t>Servicios Bancarios e Industria de Seguros</w:t>
      </w:r>
    </w:p>
    <w:p w14:paraId="48961C1A" w14:textId="43C64BE3" w:rsidR="007B2F4F" w:rsidRPr="00F17F1C" w:rsidRDefault="007B2F4F" w:rsidP="00F17F1C">
      <w:pPr>
        <w:jc w:val="both"/>
        <w:rPr>
          <w:rFonts w:ascii="Book Antiqua" w:eastAsia="Book Antiqua" w:hAnsi="Book Antiqua" w:cs="Book Antiqua"/>
          <w:lang w:val="es-PR"/>
        </w:rPr>
      </w:pPr>
    </w:p>
    <w:sectPr w:rsidR="007B2F4F" w:rsidRPr="00F17F1C">
      <w:headerReference w:type="default" r:id="rId12"/>
      <w:pgSz w:w="12240" w:h="15840"/>
      <w:pgMar w:top="1440" w:right="1440" w:bottom="16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3EBC" w14:textId="77777777" w:rsidR="003E6E10" w:rsidRDefault="003E6E10">
      <w:r>
        <w:separator/>
      </w:r>
    </w:p>
  </w:endnote>
  <w:endnote w:type="continuationSeparator" w:id="0">
    <w:p w14:paraId="67A54147" w14:textId="77777777" w:rsidR="003E6E10" w:rsidRDefault="003E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1B65" w14:textId="77777777" w:rsidR="003E6E10" w:rsidRDefault="003E6E10">
      <w:r>
        <w:separator/>
      </w:r>
    </w:p>
  </w:footnote>
  <w:footnote w:type="continuationSeparator" w:id="0">
    <w:p w14:paraId="6E1E94BC" w14:textId="77777777" w:rsidR="003E6E10" w:rsidRDefault="003E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1A2D" w14:textId="7FFC6BEE" w:rsidR="00BA0B5D" w:rsidRPr="00CE54D8" w:rsidRDefault="00CE54D8" w:rsidP="00CE54D8">
    <w:pPr>
      <w:pBdr>
        <w:bottom w:val="single" w:sz="4" w:space="1" w:color="D9D9D9"/>
      </w:pBdr>
      <w:tabs>
        <w:tab w:val="center" w:pos="4680"/>
        <w:tab w:val="right" w:pos="9360"/>
      </w:tabs>
      <w:rPr>
        <w:rFonts w:ascii="Calibri" w:eastAsia="Calibri" w:hAnsi="Calibri"/>
        <w:b/>
        <w:bCs/>
        <w:sz w:val="22"/>
        <w:szCs w:val="22"/>
        <w:lang w:val="es-PR"/>
      </w:rPr>
    </w:pPr>
    <w:r w:rsidRPr="00CE54D8">
      <w:rPr>
        <w:rFonts w:ascii="Calibri" w:eastAsia="Calibri" w:hAnsi="Calibri"/>
        <w:b/>
        <w:i/>
        <w:sz w:val="22"/>
        <w:szCs w:val="22"/>
        <w:lang w:val="es-PR"/>
      </w:rPr>
      <w:t>Informe P. de la C.</w:t>
    </w:r>
    <w:r>
      <w:rPr>
        <w:rFonts w:ascii="Calibri" w:eastAsia="Calibri" w:hAnsi="Calibri"/>
        <w:b/>
        <w:i/>
        <w:sz w:val="22"/>
        <w:szCs w:val="22"/>
        <w:lang w:val="es-PR"/>
      </w:rPr>
      <w:t xml:space="preserve"> 597</w:t>
    </w:r>
    <w:r w:rsidRPr="00CE54D8">
      <w:rPr>
        <w:rFonts w:ascii="Calibri" w:eastAsia="Calibri" w:hAnsi="Calibri"/>
        <w:b/>
        <w:i/>
        <w:sz w:val="22"/>
        <w:szCs w:val="22"/>
        <w:lang w:val="es-PR"/>
      </w:rPr>
      <w:tab/>
    </w:r>
    <w:r w:rsidRPr="00CE54D8">
      <w:rPr>
        <w:rFonts w:ascii="Calibri" w:eastAsia="Calibri" w:hAnsi="Calibri"/>
        <w:b/>
        <w:i/>
        <w:sz w:val="22"/>
        <w:szCs w:val="22"/>
        <w:lang w:val="es-PR"/>
      </w:rPr>
      <w:tab/>
      <w:t xml:space="preserve"> Página</w:t>
    </w:r>
    <w:r w:rsidRPr="00CE54D8">
      <w:rPr>
        <w:rFonts w:ascii="Calibri" w:eastAsia="Calibri" w:hAnsi="Calibri"/>
        <w:sz w:val="22"/>
        <w:szCs w:val="22"/>
        <w:lang w:val="es-PR"/>
      </w:rPr>
      <w:t xml:space="preserve"> | </w:t>
    </w:r>
    <w:r w:rsidRPr="00CE54D8">
      <w:rPr>
        <w:rFonts w:ascii="Calibri" w:eastAsia="Calibri" w:hAnsi="Calibri"/>
        <w:sz w:val="22"/>
        <w:szCs w:val="22"/>
        <w:lang w:val="en-US"/>
      </w:rPr>
      <w:fldChar w:fldCharType="begin"/>
    </w:r>
    <w:r w:rsidRPr="00CE54D8">
      <w:rPr>
        <w:rFonts w:ascii="Calibri" w:eastAsia="Calibri" w:hAnsi="Calibri"/>
        <w:sz w:val="22"/>
        <w:szCs w:val="22"/>
        <w:lang w:val="es-PR"/>
      </w:rPr>
      <w:instrText xml:space="preserve"> PAGE   \* MERGEFORMAT </w:instrText>
    </w:r>
    <w:r w:rsidRPr="00CE54D8">
      <w:rPr>
        <w:rFonts w:ascii="Calibri" w:eastAsia="Calibri" w:hAnsi="Calibri"/>
        <w:sz w:val="22"/>
        <w:szCs w:val="22"/>
        <w:lang w:val="en-US"/>
      </w:rPr>
      <w:fldChar w:fldCharType="separate"/>
    </w:r>
    <w:r w:rsidR="000F67BD" w:rsidRPr="000F67BD">
      <w:rPr>
        <w:rFonts w:ascii="Calibri" w:eastAsia="Calibri" w:hAnsi="Calibri"/>
        <w:b/>
        <w:bCs/>
        <w:noProof/>
        <w:sz w:val="22"/>
        <w:szCs w:val="22"/>
        <w:lang w:val="es-PR"/>
      </w:rPr>
      <w:t>5</w:t>
    </w:r>
    <w:r w:rsidRPr="00CE54D8">
      <w:rPr>
        <w:rFonts w:ascii="Calibri" w:eastAsia="Calibri" w:hAnsi="Calibri"/>
        <w:sz w:val="22"/>
        <w:szCs w:val="22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5A1"/>
    <w:multiLevelType w:val="hybridMultilevel"/>
    <w:tmpl w:val="814A9C0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DD6F52"/>
    <w:multiLevelType w:val="hybridMultilevel"/>
    <w:tmpl w:val="F75AD9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3A7C3A"/>
    <w:multiLevelType w:val="hybridMultilevel"/>
    <w:tmpl w:val="8C88BD86"/>
    <w:lvl w:ilvl="0" w:tplc="397489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53D85"/>
    <w:multiLevelType w:val="hybridMultilevel"/>
    <w:tmpl w:val="8F08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323C"/>
    <w:multiLevelType w:val="hybridMultilevel"/>
    <w:tmpl w:val="E79C1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063E"/>
    <w:multiLevelType w:val="hybridMultilevel"/>
    <w:tmpl w:val="EE0C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048E0"/>
    <w:multiLevelType w:val="hybridMultilevel"/>
    <w:tmpl w:val="8EB0931E"/>
    <w:lvl w:ilvl="0" w:tplc="1344916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E248D"/>
    <w:multiLevelType w:val="hybridMultilevel"/>
    <w:tmpl w:val="D7A0B9C8"/>
    <w:lvl w:ilvl="0" w:tplc="76CAC282">
      <w:start w:val="1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DC711E"/>
    <w:multiLevelType w:val="multilevel"/>
    <w:tmpl w:val="D0DC45D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6996B4F"/>
    <w:multiLevelType w:val="hybridMultilevel"/>
    <w:tmpl w:val="B2D4F600"/>
    <w:lvl w:ilvl="0" w:tplc="451E04B4">
      <w:start w:val="9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D7248"/>
    <w:multiLevelType w:val="hybridMultilevel"/>
    <w:tmpl w:val="2AAA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95C0B"/>
    <w:multiLevelType w:val="hybridMultilevel"/>
    <w:tmpl w:val="A1BAC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166ABC"/>
    <w:multiLevelType w:val="hybridMultilevel"/>
    <w:tmpl w:val="E4146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86"/>
    <w:rsid w:val="0009035A"/>
    <w:rsid w:val="000968F0"/>
    <w:rsid w:val="000A4C87"/>
    <w:rsid w:val="000C66A9"/>
    <w:rsid w:val="000D5F7E"/>
    <w:rsid w:val="000F67BD"/>
    <w:rsid w:val="00126659"/>
    <w:rsid w:val="00141605"/>
    <w:rsid w:val="00171FDF"/>
    <w:rsid w:val="001A5A3D"/>
    <w:rsid w:val="001D6791"/>
    <w:rsid w:val="001E4FEC"/>
    <w:rsid w:val="00203D0D"/>
    <w:rsid w:val="00216AC7"/>
    <w:rsid w:val="00275876"/>
    <w:rsid w:val="002D2AD0"/>
    <w:rsid w:val="00304248"/>
    <w:rsid w:val="0034229A"/>
    <w:rsid w:val="00342992"/>
    <w:rsid w:val="00371331"/>
    <w:rsid w:val="0038510E"/>
    <w:rsid w:val="00393ADF"/>
    <w:rsid w:val="003B38A4"/>
    <w:rsid w:val="003E4335"/>
    <w:rsid w:val="003E6E10"/>
    <w:rsid w:val="003E7648"/>
    <w:rsid w:val="003F10BB"/>
    <w:rsid w:val="00407674"/>
    <w:rsid w:val="00431F68"/>
    <w:rsid w:val="004512E8"/>
    <w:rsid w:val="004E356B"/>
    <w:rsid w:val="00582CE9"/>
    <w:rsid w:val="005A1F13"/>
    <w:rsid w:val="005E5CCF"/>
    <w:rsid w:val="00603FE4"/>
    <w:rsid w:val="00611979"/>
    <w:rsid w:val="00694718"/>
    <w:rsid w:val="006B2F9D"/>
    <w:rsid w:val="006E649B"/>
    <w:rsid w:val="0070305E"/>
    <w:rsid w:val="00744264"/>
    <w:rsid w:val="0076029D"/>
    <w:rsid w:val="00782A64"/>
    <w:rsid w:val="007842E6"/>
    <w:rsid w:val="0078548C"/>
    <w:rsid w:val="007B257D"/>
    <w:rsid w:val="007B2F4F"/>
    <w:rsid w:val="007C5122"/>
    <w:rsid w:val="007D22F5"/>
    <w:rsid w:val="007D79C4"/>
    <w:rsid w:val="007E2AC1"/>
    <w:rsid w:val="007E6834"/>
    <w:rsid w:val="00801B1B"/>
    <w:rsid w:val="00802900"/>
    <w:rsid w:val="008270AA"/>
    <w:rsid w:val="00844E45"/>
    <w:rsid w:val="008714C1"/>
    <w:rsid w:val="008B25F8"/>
    <w:rsid w:val="008C1517"/>
    <w:rsid w:val="00910DF8"/>
    <w:rsid w:val="009347CF"/>
    <w:rsid w:val="00977DC2"/>
    <w:rsid w:val="009970E2"/>
    <w:rsid w:val="009971DC"/>
    <w:rsid w:val="009A6C55"/>
    <w:rsid w:val="009B56D7"/>
    <w:rsid w:val="00A87C62"/>
    <w:rsid w:val="00AC3E49"/>
    <w:rsid w:val="00B16378"/>
    <w:rsid w:val="00B4018B"/>
    <w:rsid w:val="00B62EFA"/>
    <w:rsid w:val="00B85B25"/>
    <w:rsid w:val="00BA0B5D"/>
    <w:rsid w:val="00BD28BD"/>
    <w:rsid w:val="00BF5BE0"/>
    <w:rsid w:val="00C54AD6"/>
    <w:rsid w:val="00C87850"/>
    <w:rsid w:val="00CE54D8"/>
    <w:rsid w:val="00CE7486"/>
    <w:rsid w:val="00CF2FE6"/>
    <w:rsid w:val="00D5157A"/>
    <w:rsid w:val="00D95C66"/>
    <w:rsid w:val="00DF7D86"/>
    <w:rsid w:val="00E05E49"/>
    <w:rsid w:val="00E94262"/>
    <w:rsid w:val="00E9522A"/>
    <w:rsid w:val="00F17F1C"/>
    <w:rsid w:val="00F41AC8"/>
    <w:rsid w:val="00F52F26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D6F4"/>
  <w15:docId w15:val="{6A4E3AFB-D08B-4448-B488-BE46E381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FFF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le2">
    <w:name w:val="Title2"/>
    <w:basedOn w:val="Normal"/>
    <w:next w:val="Normal"/>
    <w:rsid w:val="003B6FFF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uiPriority w:val="99"/>
    <w:rsid w:val="003B6F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FF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B6FFF"/>
  </w:style>
  <w:style w:type="paragraph" w:styleId="NoSpacing">
    <w:name w:val="No Spacing"/>
    <w:uiPriority w:val="99"/>
    <w:qFormat/>
    <w:rsid w:val="003B6FFF"/>
    <w:rPr>
      <w:rFonts w:ascii="Calibri" w:hAnsi="Calibri"/>
      <w:lang w:val="es-PR"/>
    </w:rPr>
  </w:style>
  <w:style w:type="character" w:customStyle="1" w:styleId="normal-h">
    <w:name w:val="normal-h"/>
    <w:basedOn w:val="DefaultParagraphFont"/>
    <w:rsid w:val="003B6FFF"/>
  </w:style>
  <w:style w:type="paragraph" w:customStyle="1" w:styleId="ColorfulList-Accent11">
    <w:name w:val="Colorful List - Accent 11"/>
    <w:basedOn w:val="Normal"/>
    <w:uiPriority w:val="34"/>
    <w:qFormat/>
    <w:rsid w:val="00472C98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s-PR"/>
    </w:rPr>
  </w:style>
  <w:style w:type="paragraph" w:customStyle="1" w:styleId="ColorfulList-Accent12">
    <w:name w:val="Colorful List - Accent 12"/>
    <w:basedOn w:val="Normal"/>
    <w:uiPriority w:val="72"/>
    <w:qFormat/>
    <w:rsid w:val="00472C98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s-PR"/>
    </w:rPr>
  </w:style>
  <w:style w:type="paragraph" w:styleId="NormalWeb">
    <w:name w:val="Normal (Web)"/>
    <w:basedOn w:val="Normal"/>
    <w:unhideWhenUsed/>
    <w:rsid w:val="003619D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3619D2"/>
    <w:rPr>
      <w:b/>
      <w:bCs/>
    </w:rPr>
  </w:style>
  <w:style w:type="character" w:styleId="Emphasis">
    <w:name w:val="Emphasis"/>
    <w:basedOn w:val="DefaultParagraphFont"/>
    <w:uiPriority w:val="20"/>
    <w:qFormat/>
    <w:rsid w:val="003619D2"/>
    <w:rPr>
      <w:i/>
      <w:iCs/>
    </w:rPr>
  </w:style>
  <w:style w:type="paragraph" w:customStyle="1" w:styleId="Default">
    <w:name w:val="Default"/>
    <w:rsid w:val="00532D26"/>
    <w:rPr>
      <w:rFonts w:ascii="Helvetica" w:eastAsia="Arial Unicode MS" w:hAnsi="Helvetica" w:cs="Arial Unicode MS"/>
      <w:color w:val="000000"/>
      <w:lang w:val="es-ES_tradnl"/>
    </w:rPr>
  </w:style>
  <w:style w:type="paragraph" w:styleId="BodyText">
    <w:name w:val="Body Text"/>
    <w:basedOn w:val="Normal"/>
    <w:link w:val="BodyTextChar"/>
    <w:uiPriority w:val="99"/>
    <w:unhideWhenUsed/>
    <w:rsid w:val="00532D26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32D26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1A64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A64B6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uiPriority w:val="9"/>
    <w:unhideWhenUsed/>
    <w:qFormat/>
    <w:rsid w:val="001A64B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67E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0CF6"/>
    <w:rPr>
      <w:sz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CF6"/>
    <w:rPr>
      <w:rFonts w:ascii="Times New Roman" w:eastAsia="Times New Roman" w:hAnsi="Times New Roman" w:cs="Times New Roman"/>
      <w:sz w:val="20"/>
      <w:szCs w:val="20"/>
      <w:lang w:val="es-PR"/>
    </w:rPr>
  </w:style>
  <w:style w:type="character" w:styleId="FootnoteReference">
    <w:name w:val="footnote reference"/>
    <w:basedOn w:val="DefaultParagraphFont"/>
    <w:uiPriority w:val="99"/>
    <w:semiHidden/>
    <w:unhideWhenUsed/>
    <w:rsid w:val="00E40C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D0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0305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/PAJHcphl+aOKL+MDyaKVwvgg==">AMUW2mVJGkVif2c7DnMvYSnUsjiTH77BrzEe0TUsF2AoRvrE35M9cs6uY90hO6RjZ0YCJXmkxSRdF2bureosVWuQ0/U8ChJc0H20Q3rH7VrDjil9Pfo1CMJjFENhf5q/SNwlYLZk3JDMG0ZwMuC/cwOAA9fsEhPHjtqr8j+4czSp2F80DOMITOeYKltaxzwddg4AGAUjsWws</go:docsCustomData>
</go:gDocsCustomXmlDataStorage>
</file>

<file path=customXml/itemProps1.xml><?xml version="1.0" encoding="utf-8"?>
<ds:datastoreItem xmlns:ds="http://schemas.openxmlformats.org/officeDocument/2006/customXml" ds:itemID="{EFA5204A-FFE3-43F9-ABCE-A43C203B1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9370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Saavedra</dc:creator>
  <cp:keywords/>
  <dc:description/>
  <cp:lastModifiedBy>Janelle Bonilla Ortiz</cp:lastModifiedBy>
  <cp:revision>2</cp:revision>
  <cp:lastPrinted>2022-02-10T19:44:00Z</cp:lastPrinted>
  <dcterms:created xsi:type="dcterms:W3CDTF">2022-02-10T20:21:00Z</dcterms:created>
  <dcterms:modified xsi:type="dcterms:W3CDTF">2022-02-10T20:21:00Z</dcterms:modified>
</cp:coreProperties>
</file>