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BD2" w:rsidRPr="00136CFC" w:rsidRDefault="00FC4AA7" w:rsidP="00136CFC">
      <w:pPr>
        <w:jc w:val="center"/>
        <w:rPr>
          <w:rFonts w:ascii="Book Antiqua" w:hAnsi="Book Antiqua"/>
          <w:sz w:val="28"/>
          <w:lang w:val="es-ES_tradnl"/>
        </w:rPr>
      </w:pPr>
      <w:r w:rsidRPr="00136CFC">
        <w:rPr>
          <w:rFonts w:ascii="Book Antiqua" w:hAnsi="Book Antiqua"/>
          <w:sz w:val="28"/>
          <w:lang w:val="es-ES_tradnl"/>
        </w:rPr>
        <w:t>ESTADO LIBRE ASOCIADO DE PUERTO RICO</w:t>
      </w:r>
    </w:p>
    <w:p w:rsidR="00FC4AA7" w:rsidRPr="00136CFC" w:rsidRDefault="00FC4AA7" w:rsidP="00136CFC">
      <w:pPr>
        <w:jc w:val="center"/>
        <w:rPr>
          <w:rFonts w:ascii="Book Antiqua" w:hAnsi="Book Antiqua"/>
          <w:lang w:val="es-ES_tradnl"/>
        </w:rPr>
      </w:pPr>
    </w:p>
    <w:p w:rsidR="00FC4AA7" w:rsidRPr="00136CFC" w:rsidRDefault="00FC4AA7" w:rsidP="00136CFC">
      <w:pPr>
        <w:pStyle w:val="Title2"/>
        <w:tabs>
          <w:tab w:val="clear" w:pos="7776"/>
          <w:tab w:val="clear" w:pos="7848"/>
          <w:tab w:val="left" w:pos="7560"/>
        </w:tabs>
        <w:rPr>
          <w:rFonts w:ascii="Book Antiqua" w:hAnsi="Book Antiqua"/>
          <w:lang w:val="es-ES_tradnl"/>
        </w:rPr>
      </w:pPr>
      <w:r w:rsidRPr="00136CFC">
        <w:rPr>
          <w:rFonts w:ascii="Book Antiqua" w:hAnsi="Book Antiqua"/>
          <w:lang w:val="es-ES_tradnl"/>
        </w:rPr>
        <w:t xml:space="preserve">19 </w:t>
      </w:r>
      <w:r w:rsidRPr="00136CFC">
        <w:rPr>
          <w:rFonts w:ascii="Book Antiqua" w:hAnsi="Book Antiqua"/>
          <w:vertAlign w:val="superscript"/>
          <w:lang w:val="es-ES_tradnl"/>
        </w:rPr>
        <w:t>na.</w:t>
      </w:r>
      <w:r w:rsidRPr="00136CFC">
        <w:rPr>
          <w:rFonts w:ascii="Book Antiqua" w:hAnsi="Book Antiqua"/>
          <w:lang w:val="es-ES_tradnl"/>
        </w:rPr>
        <w:tab/>
        <w:t>Asamblea</w:t>
      </w:r>
      <w:r w:rsidRPr="00136CFC">
        <w:rPr>
          <w:rFonts w:ascii="Book Antiqua" w:hAnsi="Book Antiqua"/>
          <w:lang w:val="es-ES_tradnl"/>
        </w:rPr>
        <w:tab/>
      </w:r>
      <w:r w:rsidR="00136CFC">
        <w:rPr>
          <w:rFonts w:ascii="Book Antiqua" w:hAnsi="Book Antiqua"/>
          <w:lang w:val="es-ES_tradnl"/>
        </w:rPr>
        <w:t xml:space="preserve">      </w:t>
      </w:r>
      <w:r w:rsidRPr="00136CFC">
        <w:rPr>
          <w:rFonts w:ascii="Book Antiqua" w:hAnsi="Book Antiqua"/>
          <w:lang w:val="es-ES_tradnl"/>
        </w:rPr>
        <w:t xml:space="preserve">1 </w:t>
      </w:r>
      <w:proofErr w:type="spellStart"/>
      <w:r w:rsidRPr="00136CFC">
        <w:rPr>
          <w:rFonts w:ascii="Book Antiqua" w:hAnsi="Book Antiqua"/>
          <w:vertAlign w:val="superscript"/>
          <w:lang w:val="es-ES_tradnl"/>
        </w:rPr>
        <w:t>ra</w:t>
      </w:r>
      <w:proofErr w:type="spellEnd"/>
      <w:r w:rsidRPr="00136CFC">
        <w:rPr>
          <w:rFonts w:ascii="Book Antiqua" w:hAnsi="Book Antiqua"/>
          <w:vertAlign w:val="superscript"/>
          <w:lang w:val="es-ES_tradnl"/>
        </w:rPr>
        <w:t>.</w:t>
      </w:r>
      <w:r w:rsidR="00136CFC">
        <w:rPr>
          <w:rFonts w:ascii="Book Antiqua" w:hAnsi="Book Antiqua"/>
          <w:vertAlign w:val="superscript"/>
          <w:lang w:val="es-ES_tradnl"/>
        </w:rPr>
        <w:t xml:space="preserve"> </w:t>
      </w:r>
      <w:r w:rsidRPr="00136CFC">
        <w:rPr>
          <w:rFonts w:ascii="Book Antiqua" w:hAnsi="Book Antiqua"/>
          <w:lang w:val="es-ES_tradnl"/>
        </w:rPr>
        <w:t>Sesión</w:t>
      </w:r>
    </w:p>
    <w:p w:rsidR="00FC4AA7" w:rsidRPr="00136CFC" w:rsidRDefault="00FC4AA7" w:rsidP="00136CFC">
      <w:pPr>
        <w:pStyle w:val="Title2"/>
        <w:tabs>
          <w:tab w:val="clear" w:pos="7776"/>
        </w:tabs>
        <w:rPr>
          <w:rFonts w:ascii="Book Antiqua" w:hAnsi="Book Antiqua"/>
          <w:lang w:val="es-ES_tradnl"/>
        </w:rPr>
      </w:pPr>
      <w:r w:rsidRPr="00136CFC">
        <w:rPr>
          <w:rFonts w:ascii="Book Antiqua" w:hAnsi="Book Antiqua"/>
          <w:lang w:val="es-ES_tradnl"/>
        </w:rPr>
        <w:tab/>
        <w:t>Legislativa</w:t>
      </w:r>
      <w:r w:rsidRPr="00136CFC">
        <w:rPr>
          <w:rFonts w:ascii="Book Antiqua" w:hAnsi="Book Antiqua"/>
          <w:lang w:val="es-ES_tradnl"/>
        </w:rPr>
        <w:tab/>
      </w:r>
      <w:r w:rsidRPr="00136CFC">
        <w:rPr>
          <w:rFonts w:ascii="Book Antiqua" w:hAnsi="Book Antiqua"/>
          <w:lang w:val="es-ES_tradnl"/>
        </w:rPr>
        <w:tab/>
      </w:r>
      <w:r w:rsidR="00136CFC">
        <w:rPr>
          <w:rFonts w:ascii="Book Antiqua" w:hAnsi="Book Antiqua"/>
          <w:lang w:val="es-ES_tradnl"/>
        </w:rPr>
        <w:t xml:space="preserve">      </w:t>
      </w:r>
      <w:r w:rsidRPr="00136CFC">
        <w:rPr>
          <w:rFonts w:ascii="Book Antiqua" w:hAnsi="Book Antiqua"/>
          <w:lang w:val="es-ES_tradnl"/>
        </w:rPr>
        <w:t>Ordinaria</w:t>
      </w:r>
    </w:p>
    <w:p w:rsidR="00FC4AA7" w:rsidRPr="00136CFC" w:rsidRDefault="00FC4AA7" w:rsidP="00136CFC">
      <w:pPr>
        <w:rPr>
          <w:rFonts w:ascii="Book Antiqua" w:hAnsi="Book Antiqua"/>
          <w:lang w:val="es-ES_tradnl"/>
        </w:rPr>
      </w:pPr>
    </w:p>
    <w:p w:rsidR="00FC4AA7" w:rsidRPr="00136CFC" w:rsidRDefault="00FC4AA7" w:rsidP="00136CFC">
      <w:pPr>
        <w:jc w:val="center"/>
        <w:rPr>
          <w:rFonts w:ascii="Book Antiqua" w:hAnsi="Book Antiqua"/>
          <w:b/>
          <w:sz w:val="36"/>
          <w:lang w:val="es-ES_tradnl"/>
        </w:rPr>
      </w:pPr>
      <w:r w:rsidRPr="00136CFC">
        <w:rPr>
          <w:rFonts w:ascii="Book Antiqua" w:hAnsi="Book Antiqua"/>
          <w:b/>
          <w:sz w:val="36"/>
          <w:lang w:val="es-ES_tradnl"/>
        </w:rPr>
        <w:t>CÁMARA DE REPRESENTANTES</w:t>
      </w:r>
    </w:p>
    <w:p w:rsidR="00136CFC" w:rsidRPr="00136CFC" w:rsidRDefault="00136CFC" w:rsidP="00136CFC">
      <w:pPr>
        <w:jc w:val="center"/>
        <w:rPr>
          <w:rFonts w:ascii="Book Antiqua" w:hAnsi="Book Antiqua"/>
          <w:b/>
          <w:szCs w:val="24"/>
          <w:lang w:val="es-ES_tradnl"/>
        </w:rPr>
      </w:pPr>
    </w:p>
    <w:p w:rsidR="00FC4AA7" w:rsidRPr="00136CFC" w:rsidRDefault="00FC4AA7" w:rsidP="00136CFC">
      <w:pPr>
        <w:jc w:val="center"/>
        <w:rPr>
          <w:rFonts w:ascii="Book Antiqua" w:hAnsi="Book Antiqua"/>
          <w:b/>
          <w:sz w:val="52"/>
          <w:lang w:val="es-ES_tradnl"/>
        </w:rPr>
      </w:pPr>
      <w:r w:rsidRPr="00136CFC">
        <w:rPr>
          <w:rFonts w:ascii="Book Antiqua" w:hAnsi="Book Antiqua"/>
          <w:b/>
          <w:sz w:val="52"/>
          <w:lang w:val="es-ES_tradnl"/>
        </w:rPr>
        <w:t xml:space="preserve">R. C. de la C. </w:t>
      </w:r>
      <w:r w:rsidR="00541096" w:rsidRPr="00136CFC">
        <w:rPr>
          <w:rFonts w:ascii="Book Antiqua" w:hAnsi="Book Antiqua"/>
          <w:b/>
          <w:sz w:val="52"/>
          <w:lang w:val="es-ES_tradnl"/>
        </w:rPr>
        <w:t>140</w:t>
      </w:r>
    </w:p>
    <w:p w:rsidR="00136CFC" w:rsidRPr="00136CFC" w:rsidRDefault="00136CFC" w:rsidP="00136CFC">
      <w:pPr>
        <w:jc w:val="center"/>
        <w:rPr>
          <w:rFonts w:ascii="Book Antiqua" w:hAnsi="Book Antiqua"/>
          <w:b/>
          <w:szCs w:val="24"/>
          <w:lang w:val="es-ES_tradnl"/>
        </w:rPr>
      </w:pPr>
    </w:p>
    <w:p w:rsidR="00FC4AA7" w:rsidRPr="00136CFC" w:rsidRDefault="00FC4AA7" w:rsidP="00136CFC">
      <w:pPr>
        <w:jc w:val="center"/>
        <w:rPr>
          <w:rFonts w:ascii="Book Antiqua" w:hAnsi="Book Antiqua"/>
          <w:lang w:val="es-ES_tradnl"/>
        </w:rPr>
      </w:pPr>
      <w:r w:rsidRPr="00136CFC">
        <w:rPr>
          <w:rFonts w:ascii="Book Antiqua" w:hAnsi="Book Antiqua"/>
          <w:lang w:val="es-ES_tradnl"/>
        </w:rPr>
        <w:t>11 DE MAYO DE 2021</w:t>
      </w:r>
    </w:p>
    <w:p w:rsidR="00136CFC" w:rsidRPr="00136CFC" w:rsidRDefault="00136CFC" w:rsidP="00136CFC">
      <w:pPr>
        <w:jc w:val="center"/>
        <w:rPr>
          <w:rFonts w:ascii="Book Antiqua" w:hAnsi="Book Antiqua"/>
          <w:lang w:val="es-ES_tradnl"/>
        </w:rPr>
      </w:pPr>
    </w:p>
    <w:p w:rsidR="00FC4AA7" w:rsidRPr="00136CFC" w:rsidRDefault="00FC4AA7" w:rsidP="00136CFC">
      <w:pPr>
        <w:jc w:val="center"/>
        <w:rPr>
          <w:rFonts w:ascii="Book Antiqua" w:hAnsi="Book Antiqua"/>
          <w:i/>
          <w:lang w:val="es-ES_tradnl"/>
        </w:rPr>
      </w:pPr>
      <w:r w:rsidRPr="00136CFC">
        <w:rPr>
          <w:rFonts w:ascii="Book Antiqua" w:hAnsi="Book Antiqua"/>
          <w:lang w:val="es-ES_tradnl"/>
        </w:rPr>
        <w:t xml:space="preserve">Presentada por el representante </w:t>
      </w:r>
      <w:r w:rsidRPr="00136CFC">
        <w:rPr>
          <w:rFonts w:ascii="Book Antiqua" w:hAnsi="Book Antiqua"/>
          <w:i/>
          <w:lang w:val="es-ES_tradnl"/>
        </w:rPr>
        <w:t>Hernández Montañez</w:t>
      </w:r>
    </w:p>
    <w:p w:rsidR="00136CFC" w:rsidRPr="00136CFC" w:rsidRDefault="00136CFC" w:rsidP="00136CFC">
      <w:pPr>
        <w:jc w:val="center"/>
        <w:rPr>
          <w:rFonts w:ascii="Book Antiqua" w:hAnsi="Book Antiqua"/>
          <w:lang w:val="es-ES_tradnl"/>
        </w:rPr>
      </w:pPr>
    </w:p>
    <w:p w:rsidR="00FC4AA7" w:rsidRPr="00136CFC" w:rsidRDefault="00FC4AA7" w:rsidP="00136CFC">
      <w:pPr>
        <w:jc w:val="center"/>
        <w:rPr>
          <w:rFonts w:ascii="Book Antiqua" w:hAnsi="Book Antiqua"/>
          <w:lang w:val="es-ES_tradnl"/>
        </w:rPr>
      </w:pPr>
      <w:r w:rsidRPr="00136CFC">
        <w:rPr>
          <w:rFonts w:ascii="Book Antiqua" w:hAnsi="Book Antiqua"/>
          <w:lang w:val="es-ES_tradnl"/>
        </w:rPr>
        <w:t xml:space="preserve">Referida a </w:t>
      </w:r>
      <w:r w:rsidR="00E77045">
        <w:rPr>
          <w:rFonts w:ascii="Book Antiqua" w:hAnsi="Book Antiqua"/>
          <w:lang w:val="es-ES_tradnl"/>
        </w:rPr>
        <w:t xml:space="preserve">la Comisión de </w:t>
      </w:r>
      <w:r w:rsidR="00E77045" w:rsidRPr="00E77045">
        <w:rPr>
          <w:rFonts w:ascii="Book Antiqua" w:hAnsi="Book Antiqua"/>
          <w:lang w:val="es-ES_tradnl"/>
        </w:rPr>
        <w:t>Autonomía Municipal, Descentralización y Regionalización</w:t>
      </w:r>
      <w:bookmarkStart w:id="0" w:name="_GoBack"/>
      <w:bookmarkEnd w:id="0"/>
    </w:p>
    <w:p w:rsidR="00FC4AA7" w:rsidRPr="00136CFC" w:rsidRDefault="00FC4AA7" w:rsidP="00136CFC">
      <w:pPr>
        <w:jc w:val="both"/>
        <w:rPr>
          <w:rFonts w:ascii="Book Antiqua" w:hAnsi="Book Antiqua"/>
          <w:lang w:val="es-ES_tradnl"/>
        </w:rPr>
      </w:pPr>
    </w:p>
    <w:p w:rsidR="00FC4AA7" w:rsidRPr="00136CFC" w:rsidRDefault="00FC4AA7" w:rsidP="00136CFC">
      <w:pPr>
        <w:jc w:val="center"/>
        <w:rPr>
          <w:rFonts w:ascii="Book Antiqua" w:hAnsi="Book Antiqua"/>
          <w:b/>
          <w:sz w:val="28"/>
          <w:lang w:val="es-ES_tradnl"/>
        </w:rPr>
      </w:pPr>
      <w:r w:rsidRPr="00136CFC">
        <w:rPr>
          <w:rFonts w:ascii="Book Antiqua" w:hAnsi="Book Antiqua"/>
          <w:b/>
          <w:sz w:val="28"/>
          <w:lang w:val="es-ES_tradnl"/>
        </w:rPr>
        <w:t>RESOLUCIÓN CONJUNTA</w:t>
      </w:r>
    </w:p>
    <w:p w:rsidR="00FC4AA7" w:rsidRPr="00136CFC" w:rsidRDefault="00FC4AA7" w:rsidP="00136CFC">
      <w:pPr>
        <w:jc w:val="both"/>
        <w:rPr>
          <w:rFonts w:ascii="Book Antiqua" w:hAnsi="Book Antiqua"/>
          <w:lang w:val="es-ES_tradnl"/>
        </w:rPr>
      </w:pPr>
    </w:p>
    <w:p w:rsidR="00FC4AA7" w:rsidRPr="00136CFC" w:rsidRDefault="00FC4AA7" w:rsidP="00136CFC">
      <w:pPr>
        <w:ind w:left="360" w:hanging="360"/>
        <w:jc w:val="both"/>
        <w:rPr>
          <w:rFonts w:ascii="Book Antiqua" w:hAnsi="Book Antiqua"/>
          <w:lang w:val="es-PR"/>
        </w:rPr>
      </w:pPr>
      <w:r w:rsidRPr="00136CFC">
        <w:rPr>
          <w:rFonts w:ascii="Book Antiqua" w:hAnsi="Book Antiqua"/>
          <w:lang w:val="es-ES_tradnl"/>
        </w:rPr>
        <w:t xml:space="preserve">Para </w:t>
      </w:r>
      <w:r w:rsidRPr="00136CFC">
        <w:rPr>
          <w:rFonts w:ascii="Book Antiqua" w:hAnsi="Book Antiqua"/>
          <w:lang w:val="es-PR"/>
        </w:rPr>
        <w:t>ordenar al Director Ejecutivo del Centro de Recaudación de Ingresos Municipales (CRIM) a extender la fecha límite de la radicación de las Planillas de Contribución sobre la Propiedad Mueble para el año 2020, que vence el 17 de mayo de 2021, hasta el 15 de junio de 2021.</w:t>
      </w:r>
    </w:p>
    <w:p w:rsidR="00136CFC" w:rsidRPr="00136CFC" w:rsidRDefault="00136CFC" w:rsidP="00136CFC">
      <w:pPr>
        <w:ind w:left="360" w:hanging="360"/>
        <w:jc w:val="both"/>
        <w:rPr>
          <w:rFonts w:ascii="Book Antiqua" w:hAnsi="Book Antiqua"/>
          <w:lang w:val="es-ES_tradnl"/>
        </w:rPr>
      </w:pPr>
    </w:p>
    <w:p w:rsidR="00FC4AA7" w:rsidRPr="00136CFC" w:rsidRDefault="00FC4AA7" w:rsidP="00136CFC">
      <w:pPr>
        <w:jc w:val="center"/>
        <w:rPr>
          <w:rFonts w:ascii="Book Antiqua" w:hAnsi="Book Antiqua"/>
          <w:lang w:val="es-ES_tradnl"/>
        </w:rPr>
      </w:pPr>
      <w:r w:rsidRPr="00136CFC">
        <w:rPr>
          <w:rFonts w:ascii="Book Antiqua" w:hAnsi="Book Antiqua"/>
          <w:lang w:val="es-ES_tradnl"/>
        </w:rPr>
        <w:t>EXPOSICIÓN DE MOTIVOS</w:t>
      </w:r>
    </w:p>
    <w:p w:rsidR="00136CFC" w:rsidRPr="00136CFC" w:rsidRDefault="00136CFC" w:rsidP="00136CFC">
      <w:pPr>
        <w:ind w:firstLine="360"/>
        <w:jc w:val="center"/>
        <w:rPr>
          <w:rFonts w:ascii="Book Antiqua" w:hAnsi="Book Antiqua"/>
          <w:lang w:val="es-ES_tradnl"/>
        </w:rPr>
      </w:pPr>
    </w:p>
    <w:p w:rsidR="00FC4AA7" w:rsidRDefault="00FC4AA7" w:rsidP="00136CFC">
      <w:pPr>
        <w:ind w:left="4" w:firstLine="360"/>
        <w:jc w:val="both"/>
        <w:rPr>
          <w:rFonts w:ascii="Book Antiqua" w:hAnsi="Book Antiqua"/>
          <w:lang w:val="es-PR"/>
        </w:rPr>
      </w:pPr>
      <w:r w:rsidRPr="00136CFC">
        <w:rPr>
          <w:rFonts w:ascii="Book Antiqua" w:hAnsi="Book Antiqua"/>
          <w:lang w:val="es-PR"/>
        </w:rPr>
        <w:t xml:space="preserve">El estado de emergencia que estamos viviendo como país debido a la pandemia del Covid-19 ha trastocado y transformado las operaciones ordinarias de los comercios. Esto ha tenido un impacto en el proceso de cumplimiento con las obligaciones contributivas de los negocios y las prácticas de los Contadores Públicos Autorizados (CPA) y especialistas en planillas que asisten a la comunidad empresarial en el trámite para completar las mismas. </w:t>
      </w:r>
    </w:p>
    <w:p w:rsidR="00136CFC" w:rsidRPr="00136CFC" w:rsidRDefault="00136CFC" w:rsidP="00136CFC">
      <w:pPr>
        <w:ind w:left="4" w:firstLine="360"/>
        <w:jc w:val="both"/>
        <w:rPr>
          <w:rFonts w:ascii="Book Antiqua" w:hAnsi="Book Antiqua"/>
          <w:lang w:val="es-PR"/>
        </w:rPr>
      </w:pPr>
    </w:p>
    <w:p w:rsidR="00FC4AA7" w:rsidRPr="00136CFC" w:rsidRDefault="00FC4AA7" w:rsidP="00136CFC">
      <w:pPr>
        <w:ind w:left="4" w:firstLine="360"/>
        <w:jc w:val="both"/>
        <w:rPr>
          <w:rFonts w:ascii="Book Antiqua" w:hAnsi="Book Antiqua"/>
          <w:lang w:val="es-PR"/>
        </w:rPr>
      </w:pPr>
      <w:r w:rsidRPr="00136CFC">
        <w:rPr>
          <w:rFonts w:ascii="Book Antiqua" w:hAnsi="Book Antiqua"/>
          <w:lang w:val="es-PR"/>
        </w:rPr>
        <w:t xml:space="preserve">Sin embargo, ante la carga y concentración de las obligaciones en un mismo período, entendemos necesario ordenar al Director Ejecutivo del Centro de Recaudación de Ingresos Municipales (CRIM) la extensión de la fecha límite de radicación de la Planilla de Contribución sobre la Propiedad Mueble para el año 2020. Esta acción es cónsona con las extensiones que han concedido otras agencias como el Departamento de Hacienda, el Servicio de Rentas Internas (IRS, por sus siglas en inglés), Departamento de Estado y la Oficina de Gerencia y Presupuesto (OGP) para el mes de mayo, básicamente todas las principales obligaciones contributivas anuales se han concentrado y ahora vencen el mismo día 17 de mayo o en el mismo mes. De igual manera, los contribuyentes tendrán que hacer todos los pagos correspondientes en el mismo mes. </w:t>
      </w:r>
    </w:p>
    <w:p w:rsidR="00FC4AA7" w:rsidRDefault="00FC4AA7" w:rsidP="00136CFC">
      <w:pPr>
        <w:ind w:left="4" w:firstLine="360"/>
        <w:jc w:val="both"/>
        <w:rPr>
          <w:rFonts w:ascii="Book Antiqua" w:hAnsi="Book Antiqua"/>
          <w:lang w:val="es-PR"/>
        </w:rPr>
      </w:pPr>
      <w:r w:rsidRPr="00136CFC">
        <w:rPr>
          <w:rFonts w:ascii="Book Antiqua" w:hAnsi="Book Antiqua"/>
          <w:lang w:val="es-PR"/>
        </w:rPr>
        <w:lastRenderedPageBreak/>
        <w:t xml:space="preserve">La Asamblea Legislativa del Estado Libre Asociado de Puerto Rico tiene conocimiento que este asunto es de suma de preocupación para entidades profesionales como el Colegio de Contadores Públicos Autorizados de Puerto Rico (CCPA) y la Cámara de Comercio de Puerto Rico (CCPR). Ambas entidades representadas por sus Presidentes, la CPA Rosa Rodríguez Ramos y el señor Juan Carlos Agosto, han enviado misivas al CRIM para solicitar extensión de la fecha límite para la radicación de la planilla.  </w:t>
      </w:r>
    </w:p>
    <w:p w:rsidR="00136CFC" w:rsidRPr="00136CFC" w:rsidRDefault="00136CFC" w:rsidP="00136CFC">
      <w:pPr>
        <w:ind w:left="4" w:firstLine="360"/>
        <w:jc w:val="both"/>
        <w:rPr>
          <w:rFonts w:ascii="Book Antiqua" w:hAnsi="Book Antiqua"/>
          <w:lang w:val="es-PR"/>
        </w:rPr>
      </w:pPr>
    </w:p>
    <w:p w:rsidR="00FC4AA7" w:rsidRDefault="00FC4AA7" w:rsidP="00136CFC">
      <w:pPr>
        <w:ind w:left="4" w:firstLine="360"/>
        <w:jc w:val="both"/>
        <w:rPr>
          <w:rFonts w:ascii="Book Antiqua" w:hAnsi="Book Antiqua"/>
          <w:lang w:val="es-PR"/>
        </w:rPr>
      </w:pPr>
      <w:r w:rsidRPr="00136CFC">
        <w:rPr>
          <w:rFonts w:ascii="Book Antiqua" w:hAnsi="Book Antiqua"/>
          <w:lang w:val="es-PR"/>
        </w:rPr>
        <w:t xml:space="preserve">Además, las entidades profesionales le han provisto al CRIM, alternativas razonables para el cumplimiento con el Plan Fiscal del CRIM avalado por la Junta de Supervisión Fiscal, y así poder extender la fecha límite. Sin embargo, el CRIM emitió la Orden Administrativa 2021-01 que mantiene la fecha original del 17 de mayo de 2021 para la radicación de la Planilla de Contribución sobre la Propiedad Mueble. </w:t>
      </w:r>
    </w:p>
    <w:p w:rsidR="00136CFC" w:rsidRPr="00136CFC" w:rsidRDefault="00136CFC" w:rsidP="00136CFC">
      <w:pPr>
        <w:ind w:left="4" w:firstLine="360"/>
        <w:jc w:val="both"/>
        <w:rPr>
          <w:rFonts w:ascii="Book Antiqua" w:hAnsi="Book Antiqua"/>
          <w:lang w:val="es-PR"/>
        </w:rPr>
      </w:pPr>
    </w:p>
    <w:p w:rsidR="00FC4AA7" w:rsidRPr="00136CFC" w:rsidRDefault="00136CFC" w:rsidP="00136CFC">
      <w:pPr>
        <w:jc w:val="both"/>
        <w:rPr>
          <w:rFonts w:ascii="Book Antiqua" w:hAnsi="Book Antiqua"/>
          <w:lang w:val="es-PR"/>
        </w:rPr>
      </w:pPr>
      <w:r>
        <w:rPr>
          <w:rFonts w:ascii="Book Antiqua" w:hAnsi="Book Antiqua"/>
          <w:lang w:val="es-PR"/>
        </w:rPr>
        <w:tab/>
      </w:r>
      <w:r w:rsidR="00FC4AA7" w:rsidRPr="00136CFC">
        <w:rPr>
          <w:rFonts w:ascii="Book Antiqua" w:hAnsi="Book Antiqua"/>
          <w:lang w:val="es-PR"/>
        </w:rPr>
        <w:t xml:space="preserve">Es por lo anteriormente expuesto, que entendemos necesario el ordenar al Director Ejecutivo del CRIM que extienda la fecha límite de la radicación de la Planilla de Contribución sobre la Propiedad Mueble para el año 2020 hasta el 15 de junio de 2021 y acoja las recomendaciones por parte de las entidades profesionales anteriormente mencionadas. Sabemos que esta medida será de gran beneficio para los contribuyentes de nuestro país que a diario luchan por sacar esta Isla adelante.  </w:t>
      </w:r>
    </w:p>
    <w:p w:rsidR="00FC4AA7" w:rsidRPr="00136CFC" w:rsidRDefault="00FC4AA7" w:rsidP="00136CFC">
      <w:pPr>
        <w:ind w:firstLine="360"/>
        <w:jc w:val="both"/>
        <w:rPr>
          <w:rFonts w:ascii="Book Antiqua" w:hAnsi="Book Antiqua"/>
          <w:lang w:val="es-PR"/>
        </w:rPr>
      </w:pPr>
    </w:p>
    <w:p w:rsidR="00FC4AA7" w:rsidRPr="00136CFC" w:rsidRDefault="00FC4AA7" w:rsidP="00136CFC">
      <w:pPr>
        <w:spacing w:line="480" w:lineRule="auto"/>
        <w:rPr>
          <w:rFonts w:ascii="Book Antiqua" w:hAnsi="Book Antiqua"/>
          <w:i/>
          <w:lang w:val="es-ES_tradnl"/>
        </w:rPr>
      </w:pPr>
      <w:r w:rsidRPr="00136CFC">
        <w:rPr>
          <w:rFonts w:ascii="Book Antiqua" w:hAnsi="Book Antiqua"/>
          <w:i/>
          <w:lang w:val="es-ES_tradnl"/>
        </w:rPr>
        <w:t>RESUÉLVESE POR LA ASAMBLEA LEGISLATIVA DE PUERTO RICO:</w:t>
      </w:r>
    </w:p>
    <w:p w:rsidR="00FC4AA7" w:rsidRPr="00136CFC" w:rsidRDefault="00FC4AA7" w:rsidP="00FC4AA7">
      <w:pPr>
        <w:spacing w:line="480" w:lineRule="auto"/>
        <w:jc w:val="both"/>
        <w:rPr>
          <w:rFonts w:ascii="Book Antiqua" w:hAnsi="Book Antiqua"/>
          <w:lang w:val="es-ES_tradnl"/>
        </w:rPr>
        <w:sectPr w:rsidR="00FC4AA7" w:rsidRPr="00136CFC">
          <w:headerReference w:type="default" r:id="rId8"/>
          <w:type w:val="continuous"/>
          <w:pgSz w:w="12240" w:h="15840" w:code="1"/>
          <w:pgMar w:top="1440" w:right="1440" w:bottom="1440" w:left="1440" w:header="720" w:footer="720" w:gutter="0"/>
          <w:cols w:space="720"/>
          <w:titlePg/>
        </w:sectPr>
      </w:pPr>
    </w:p>
    <w:p w:rsidR="00FC4AA7" w:rsidRPr="00136CFC" w:rsidRDefault="00136CFC" w:rsidP="00136CFC">
      <w:pPr>
        <w:spacing w:line="480" w:lineRule="auto"/>
        <w:ind w:left="14"/>
        <w:jc w:val="both"/>
        <w:rPr>
          <w:rFonts w:ascii="Book Antiqua" w:hAnsi="Book Antiqua"/>
          <w:lang w:val="es-PR"/>
        </w:rPr>
      </w:pPr>
      <w:r>
        <w:rPr>
          <w:rFonts w:ascii="Book Antiqua" w:hAnsi="Book Antiqua"/>
          <w:lang w:val="es-PR"/>
        </w:rPr>
        <w:lastRenderedPageBreak/>
        <w:tab/>
      </w:r>
      <w:r w:rsidR="00FC4AA7" w:rsidRPr="00136CFC">
        <w:rPr>
          <w:rFonts w:ascii="Book Antiqua" w:hAnsi="Book Antiqua"/>
          <w:lang w:val="es-PR"/>
        </w:rPr>
        <w:t xml:space="preserve">Sección 1.- Se ordena al Director Ejecutivo del Centro de Recaudación de Ingresos Municipales (CRIM) a extender la fecha límite de la radicación de la Planilla de Contribución sobre la Propiedad Mueble para el año 2020, que vence el 17 de mayo de 2021, hasta el 15 de junio de 2021. </w:t>
      </w:r>
    </w:p>
    <w:p w:rsidR="00FC4AA7" w:rsidRPr="00136CFC" w:rsidRDefault="00136CFC" w:rsidP="00136CFC">
      <w:pPr>
        <w:spacing w:line="480" w:lineRule="auto"/>
        <w:jc w:val="both"/>
        <w:rPr>
          <w:rFonts w:ascii="Book Antiqua" w:hAnsi="Book Antiqua"/>
          <w:lang w:val="es-PR"/>
        </w:rPr>
      </w:pPr>
      <w:r>
        <w:rPr>
          <w:rFonts w:ascii="Book Antiqua" w:hAnsi="Book Antiqua"/>
          <w:lang w:val="es-PR"/>
        </w:rPr>
        <w:tab/>
      </w:r>
      <w:r w:rsidR="00FC4AA7" w:rsidRPr="00136CFC">
        <w:rPr>
          <w:rFonts w:ascii="Book Antiqua" w:hAnsi="Book Antiqua"/>
          <w:lang w:val="es-PR"/>
        </w:rPr>
        <w:t>Sección 2.- Esta Resolución Conjunta comenzará a regir a partir de la fecha de su aprobación.</w:t>
      </w:r>
    </w:p>
    <w:sectPr w:rsidR="00FC4AA7" w:rsidRPr="00136CFC" w:rsidSect="00FC4AA7">
      <w:type w:val="continuous"/>
      <w:pgSz w:w="12240" w:h="15840" w:code="1"/>
      <w:pgMar w:top="1440" w:right="1440" w:bottom="1440" w:left="1440" w:header="720" w:footer="720" w:gutter="0"/>
      <w:lnNumType w:countBy="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0291" w:rsidRDefault="004B0291">
      <w:r>
        <w:separator/>
      </w:r>
    </w:p>
  </w:endnote>
  <w:endnote w:type="continuationSeparator" w:id="0">
    <w:p w:rsidR="004B0291" w:rsidRDefault="004B02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0291" w:rsidRDefault="004B0291">
      <w:r>
        <w:separator/>
      </w:r>
    </w:p>
  </w:footnote>
  <w:footnote w:type="continuationSeparator" w:id="0">
    <w:p w:rsidR="004B0291" w:rsidRDefault="004B02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42CB" w:rsidRDefault="00F042CB">
    <w:pPr>
      <w:pStyle w:val="Header"/>
      <w:jc w:val="center"/>
    </w:pPr>
    <w:r>
      <w:rPr>
        <w:rStyle w:val="PageNumber"/>
      </w:rPr>
      <w:fldChar w:fldCharType="begin"/>
    </w:r>
    <w:r>
      <w:rPr>
        <w:rStyle w:val="PageNumber"/>
      </w:rPr>
      <w:instrText xml:space="preserve"> PAGE </w:instrText>
    </w:r>
    <w:r>
      <w:rPr>
        <w:rStyle w:val="PageNumber"/>
      </w:rPr>
      <w:fldChar w:fldCharType="separate"/>
    </w:r>
    <w:r w:rsidR="00E77045">
      <w:rPr>
        <w:rStyle w:val="PageNumber"/>
        <w:noProof/>
      </w:rPr>
      <w:t>2</w:t>
    </w:r>
    <w:r>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946D05"/>
    <w:multiLevelType w:val="hybridMultilevel"/>
    <w:tmpl w:val="67FA488E"/>
    <w:lvl w:ilvl="0" w:tplc="F6B077F8">
      <w:start w:val="1"/>
      <w:numFmt w:val="decimal"/>
      <w:lvlText w:val="%1"/>
      <w:lvlJc w:val="left"/>
      <w:pPr>
        <w:ind w:left="7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A40FB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0AF02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86007E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79AF97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868C9E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CC8A89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0C20A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0EC925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ambleaNum" w:val="1"/>
    <w:docVar w:name="AsambleaSup" w:val="ra"/>
    <w:docVar w:name="Direccion" w:val="addr1addr2San JuanPR00911"/>
    <w:docVar w:name="FallecimientoDe" w:val="Ramona Solís"/>
    <w:docVar w:name="Fecha" w:val="aaa"/>
    <w:docVar w:name="Mocion_A" w:val="Ricardo Ramos Solís"/>
    <w:docVar w:name="Senador_a1" w:val="El Senador"/>
    <w:docVar w:name="Senador_a2" w:val="Senador"/>
    <w:docVar w:name="Senator_a1" w:val="El Senador"/>
    <w:docVar w:name="Senator_a2" w:val="Senador"/>
    <w:docVar w:name="SesionNum" w:val="2"/>
    <w:docVar w:name="SesionSup" w:val="da"/>
    <w:docVar w:name="SesionTipo" w:val="Ordinaria"/>
  </w:docVars>
  <w:rsids>
    <w:rsidRoot w:val="00FC4AA7"/>
    <w:rsid w:val="00020BBB"/>
    <w:rsid w:val="00056024"/>
    <w:rsid w:val="00095AE1"/>
    <w:rsid w:val="000A6B6C"/>
    <w:rsid w:val="000B0DBB"/>
    <w:rsid w:val="00111E71"/>
    <w:rsid w:val="00127C6A"/>
    <w:rsid w:val="001363FE"/>
    <w:rsid w:val="00136CFC"/>
    <w:rsid w:val="0017132B"/>
    <w:rsid w:val="001F4CA3"/>
    <w:rsid w:val="001F612A"/>
    <w:rsid w:val="00211396"/>
    <w:rsid w:val="00226AE6"/>
    <w:rsid w:val="00245B34"/>
    <w:rsid w:val="00263355"/>
    <w:rsid w:val="00273792"/>
    <w:rsid w:val="002D4AC8"/>
    <w:rsid w:val="00320D78"/>
    <w:rsid w:val="00380FE5"/>
    <w:rsid w:val="003924DD"/>
    <w:rsid w:val="00394FCB"/>
    <w:rsid w:val="003963F4"/>
    <w:rsid w:val="003B5254"/>
    <w:rsid w:val="003B75A6"/>
    <w:rsid w:val="004061CA"/>
    <w:rsid w:val="00415689"/>
    <w:rsid w:val="004440CB"/>
    <w:rsid w:val="004713D2"/>
    <w:rsid w:val="004B0291"/>
    <w:rsid w:val="00521639"/>
    <w:rsid w:val="00532BB7"/>
    <w:rsid w:val="005332E4"/>
    <w:rsid w:val="0053550C"/>
    <w:rsid w:val="00541096"/>
    <w:rsid w:val="00555018"/>
    <w:rsid w:val="005723DC"/>
    <w:rsid w:val="006210DC"/>
    <w:rsid w:val="0064349D"/>
    <w:rsid w:val="00653EED"/>
    <w:rsid w:val="00685549"/>
    <w:rsid w:val="006B7365"/>
    <w:rsid w:val="006C2D81"/>
    <w:rsid w:val="006C7DF8"/>
    <w:rsid w:val="00750FC8"/>
    <w:rsid w:val="007533D0"/>
    <w:rsid w:val="00755069"/>
    <w:rsid w:val="007B0660"/>
    <w:rsid w:val="007E3868"/>
    <w:rsid w:val="00820C41"/>
    <w:rsid w:val="00850256"/>
    <w:rsid w:val="0093686F"/>
    <w:rsid w:val="00942FD4"/>
    <w:rsid w:val="00951997"/>
    <w:rsid w:val="00990352"/>
    <w:rsid w:val="00A03405"/>
    <w:rsid w:val="00A1528A"/>
    <w:rsid w:val="00A33918"/>
    <w:rsid w:val="00A7629F"/>
    <w:rsid w:val="00AF0CEE"/>
    <w:rsid w:val="00B667AD"/>
    <w:rsid w:val="00B84C38"/>
    <w:rsid w:val="00B86C00"/>
    <w:rsid w:val="00B947F6"/>
    <w:rsid w:val="00BF16AA"/>
    <w:rsid w:val="00C354B8"/>
    <w:rsid w:val="00C52517"/>
    <w:rsid w:val="00C60921"/>
    <w:rsid w:val="00C62936"/>
    <w:rsid w:val="00C653F2"/>
    <w:rsid w:val="00C679E6"/>
    <w:rsid w:val="00C908F9"/>
    <w:rsid w:val="00CA0917"/>
    <w:rsid w:val="00CA1099"/>
    <w:rsid w:val="00D417C2"/>
    <w:rsid w:val="00D60936"/>
    <w:rsid w:val="00D709EB"/>
    <w:rsid w:val="00D74714"/>
    <w:rsid w:val="00D82F3F"/>
    <w:rsid w:val="00D921C6"/>
    <w:rsid w:val="00D958C2"/>
    <w:rsid w:val="00E04AB5"/>
    <w:rsid w:val="00E50EEA"/>
    <w:rsid w:val="00E52F58"/>
    <w:rsid w:val="00E77045"/>
    <w:rsid w:val="00EC26AA"/>
    <w:rsid w:val="00ED7A53"/>
    <w:rsid w:val="00EE4273"/>
    <w:rsid w:val="00F02004"/>
    <w:rsid w:val="00F042CB"/>
    <w:rsid w:val="00F60A20"/>
    <w:rsid w:val="00FC0A95"/>
    <w:rsid w:val="00FC3D9C"/>
    <w:rsid w:val="00FC4AA7"/>
    <w:rsid w:val="00FF0153"/>
    <w:rsid w:val="00FF4DD7"/>
    <w:rsid w:val="00FF6B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6B5C64A-D234-4A3E-8CE6-64C05E1B0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LineNumber">
    <w:name w:val="line number"/>
    <w:basedOn w:val="DefaultParagraphFont"/>
  </w:style>
  <w:style w:type="paragraph" w:customStyle="1" w:styleId="Title2">
    <w:name w:val="Title2"/>
    <w:basedOn w:val="Normal"/>
    <w:next w:val="Normal"/>
    <w:pPr>
      <w:tabs>
        <w:tab w:val="left" w:pos="648"/>
        <w:tab w:val="right" w:pos="7776"/>
        <w:tab w:val="left" w:pos="7848"/>
      </w:tabs>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Firmas">
    <w:name w:val="Firmas"/>
    <w:basedOn w:val="Normal"/>
    <w:pPr>
      <w:tabs>
        <w:tab w:val="center" w:pos="1440"/>
        <w:tab w:val="center" w:pos="7200"/>
      </w:tabs>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fernandez\OneDrive\Desktop\Macro%20Medida%20C&#225;mara%202021-2024_MOD8.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tns:customPropertyEditors xmlns:tns="http://schemas.microsoft.com/office/2006/customDocumentInformationPanel">
  <tns:showOnOpen>false</tns:showOnOpen>
  <tns:defaultPropertyEditorNamespace>Standard properties</tns:defaultPropertyEditorNamespace>
</tns:customPropertyEditors>
</file>

<file path=customXml/itemProps1.xml><?xml version="1.0" encoding="utf-8"?>
<ds:datastoreItem xmlns:ds="http://schemas.openxmlformats.org/officeDocument/2006/customXml" ds:itemID="{B7762263-F207-4B2B-ACA7-468B5A6EE03C}">
  <ds:schemaRefs>
    <ds:schemaRef ds:uri="http://schemas.microsoft.com/office/2006/customDocumentInformationPanel"/>
  </ds:schemaRefs>
</ds:datastoreItem>
</file>

<file path=docProps/app.xml><?xml version="1.0" encoding="utf-8"?>
<Properties xmlns="http://schemas.openxmlformats.org/officeDocument/2006/extended-properties" xmlns:vt="http://schemas.openxmlformats.org/officeDocument/2006/docPropsVTypes">
  <Template>Macro Medida Cámara 2021-2024_MOD8</Template>
  <TotalTime>4</TotalTime>
  <Pages>2</Pages>
  <Words>596</Words>
  <Characters>3128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asesora - IT</vt:lpstr>
    </vt:vector>
  </TitlesOfParts>
  <Company> </Company>
  <LinksUpToDate>false</LinksUpToDate>
  <CharactersWithSpaces>3717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asesora - IT</dc:title>
  <dc:subject/>
  <dc:creator>Jorge I. Fernández Porto</dc:creator>
  <cp:keywords/>
  <cp:lastModifiedBy>Gladys J. Burgos Torres</cp:lastModifiedBy>
  <cp:revision>4</cp:revision>
  <cp:lastPrinted>2000-03-03T16:35:00Z</cp:lastPrinted>
  <dcterms:created xsi:type="dcterms:W3CDTF">2021-05-11T18:56:00Z</dcterms:created>
  <dcterms:modified xsi:type="dcterms:W3CDTF">2021-05-11T19:33:00Z</dcterms:modified>
</cp:coreProperties>
</file>