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233A6" w14:textId="77777777" w:rsidR="00BD7A89" w:rsidRDefault="00BD7A89" w:rsidP="00BD7A89">
      <w:pPr>
        <w:jc w:val="center"/>
        <w:rPr>
          <w:rFonts w:ascii="Book Antiqua" w:eastAsia="Times New Roman" w:hAnsi="Book Antiqua" w:cs="Times New Roman"/>
          <w:bCs/>
          <w:color w:val="000000" w:themeColor="text1"/>
          <w:sz w:val="28"/>
          <w:szCs w:val="28"/>
        </w:rPr>
      </w:pPr>
      <w:bookmarkStart w:id="0" w:name="_Hlk62994708"/>
      <w:r w:rsidRPr="00D46593">
        <w:rPr>
          <w:rFonts w:ascii="Book Antiqua" w:eastAsia="Times New Roman" w:hAnsi="Book Antiqua" w:cs="Times New Roman"/>
          <w:bCs/>
          <w:color w:val="000000" w:themeColor="text1"/>
          <w:sz w:val="28"/>
          <w:szCs w:val="28"/>
        </w:rPr>
        <w:t>ESTADO LIBRE ASOCIADO DE PUERTO RICO</w:t>
      </w:r>
    </w:p>
    <w:p w14:paraId="5159DF38" w14:textId="77777777" w:rsidR="00D46593" w:rsidRPr="00D46593" w:rsidRDefault="00D46593" w:rsidP="00BD7A89">
      <w:pPr>
        <w:jc w:val="center"/>
        <w:rPr>
          <w:rFonts w:ascii="Book Antiqua" w:eastAsia="Times New Roman" w:hAnsi="Book Antiqua" w:cs="Times New Roman"/>
          <w:bCs/>
          <w:color w:val="000000" w:themeColor="text1"/>
          <w:szCs w:val="28"/>
        </w:rPr>
      </w:pPr>
    </w:p>
    <w:p w14:paraId="2F94342F" w14:textId="5E9A0F28" w:rsidR="00BD7A89" w:rsidRPr="00D46593" w:rsidRDefault="00BD7A89" w:rsidP="00D46593">
      <w:pPr>
        <w:suppressAutoHyphens/>
        <w:rPr>
          <w:rFonts w:ascii="Book Antiqua" w:eastAsia="Times New Roman" w:hAnsi="Book Antiqua" w:cs="Times New Roman"/>
          <w:color w:val="000000" w:themeColor="text1"/>
          <w:spacing w:val="-3"/>
          <w:szCs w:val="24"/>
        </w:rPr>
      </w:pPr>
      <w:r w:rsidRPr="00D46593">
        <w:rPr>
          <w:rFonts w:ascii="Book Antiqua" w:eastAsia="Times New Roman" w:hAnsi="Book Antiqua" w:cs="Times New Roman"/>
          <w:color w:val="000000" w:themeColor="text1"/>
          <w:spacing w:val="-3"/>
          <w:szCs w:val="24"/>
        </w:rPr>
        <w:t>19</w:t>
      </w:r>
      <w:r w:rsidRPr="00D46593">
        <w:rPr>
          <w:rFonts w:ascii="Book Antiqua" w:eastAsia="Times New Roman" w:hAnsi="Book Antiqua" w:cs="Times New Roman"/>
          <w:color w:val="000000" w:themeColor="text1"/>
          <w:spacing w:val="-3"/>
          <w:szCs w:val="24"/>
          <w:vertAlign w:val="superscript"/>
        </w:rPr>
        <w:t>va.</w:t>
      </w:r>
      <w:r w:rsidRPr="00D46593">
        <w:rPr>
          <w:rFonts w:ascii="Book Antiqua" w:eastAsia="Times New Roman" w:hAnsi="Book Antiqua" w:cs="Times New Roman"/>
          <w:color w:val="000000" w:themeColor="text1"/>
          <w:spacing w:val="-3"/>
          <w:szCs w:val="24"/>
        </w:rPr>
        <w:t xml:space="preserve"> Asamblea</w:t>
      </w:r>
      <w:r w:rsidRPr="00D46593">
        <w:rPr>
          <w:rFonts w:ascii="Book Antiqua" w:eastAsia="Times New Roman" w:hAnsi="Book Antiqua" w:cs="Times New Roman"/>
          <w:color w:val="000000" w:themeColor="text1"/>
          <w:spacing w:val="-3"/>
          <w:szCs w:val="24"/>
        </w:rPr>
        <w:tab/>
        <w:t xml:space="preserve">                        </w:t>
      </w:r>
      <w:r w:rsidRPr="00D46593">
        <w:rPr>
          <w:rFonts w:ascii="Book Antiqua" w:eastAsia="Times New Roman" w:hAnsi="Book Antiqua" w:cs="Times New Roman"/>
          <w:color w:val="000000" w:themeColor="text1"/>
          <w:spacing w:val="-3"/>
          <w:szCs w:val="24"/>
        </w:rPr>
        <w:tab/>
      </w:r>
      <w:r w:rsidRPr="00D46593">
        <w:rPr>
          <w:rFonts w:ascii="Book Antiqua" w:eastAsia="Times New Roman" w:hAnsi="Book Antiqua" w:cs="Times New Roman"/>
          <w:color w:val="000000" w:themeColor="text1"/>
          <w:spacing w:val="-3"/>
          <w:szCs w:val="24"/>
        </w:rPr>
        <w:tab/>
      </w:r>
      <w:r w:rsidRPr="00D46593">
        <w:rPr>
          <w:rFonts w:ascii="Book Antiqua" w:eastAsia="Times New Roman" w:hAnsi="Book Antiqua" w:cs="Times New Roman"/>
          <w:color w:val="000000" w:themeColor="text1"/>
          <w:spacing w:val="-3"/>
          <w:szCs w:val="24"/>
        </w:rPr>
        <w:tab/>
      </w:r>
      <w:r w:rsidRPr="00D46593">
        <w:rPr>
          <w:rFonts w:ascii="Book Antiqua" w:eastAsia="Times New Roman" w:hAnsi="Book Antiqua" w:cs="Times New Roman"/>
          <w:color w:val="000000" w:themeColor="text1"/>
          <w:spacing w:val="-3"/>
          <w:szCs w:val="24"/>
        </w:rPr>
        <w:tab/>
      </w:r>
      <w:r w:rsidRPr="00D46593">
        <w:rPr>
          <w:rFonts w:ascii="Book Antiqua" w:eastAsia="Times New Roman" w:hAnsi="Book Antiqua" w:cs="Times New Roman"/>
          <w:color w:val="000000" w:themeColor="text1"/>
          <w:spacing w:val="-3"/>
          <w:szCs w:val="24"/>
        </w:rPr>
        <w:tab/>
      </w:r>
      <w:r w:rsidRPr="00D46593">
        <w:rPr>
          <w:rFonts w:ascii="Book Antiqua" w:eastAsia="Times New Roman" w:hAnsi="Book Antiqua" w:cs="Times New Roman"/>
          <w:color w:val="000000" w:themeColor="text1"/>
          <w:spacing w:val="-3"/>
          <w:szCs w:val="24"/>
        </w:rPr>
        <w:tab/>
        <w:t xml:space="preserve">         </w:t>
      </w:r>
      <w:r w:rsidR="00D46593">
        <w:rPr>
          <w:rFonts w:ascii="Book Antiqua" w:eastAsia="Times New Roman" w:hAnsi="Book Antiqua" w:cs="Times New Roman"/>
          <w:color w:val="000000" w:themeColor="text1"/>
          <w:spacing w:val="-3"/>
          <w:szCs w:val="24"/>
        </w:rPr>
        <w:t xml:space="preserve">   </w:t>
      </w:r>
      <w:r w:rsidRPr="00D46593">
        <w:rPr>
          <w:rFonts w:ascii="Book Antiqua" w:eastAsia="Times New Roman" w:hAnsi="Book Antiqua" w:cs="Times New Roman"/>
          <w:color w:val="000000" w:themeColor="text1"/>
          <w:spacing w:val="-3"/>
          <w:szCs w:val="24"/>
        </w:rPr>
        <w:t>2</w:t>
      </w:r>
      <w:r w:rsidRPr="00D46593">
        <w:rPr>
          <w:rFonts w:ascii="Book Antiqua" w:eastAsia="Times New Roman" w:hAnsi="Book Antiqua" w:cs="Times New Roman"/>
          <w:color w:val="000000" w:themeColor="text1"/>
          <w:spacing w:val="-3"/>
          <w:szCs w:val="24"/>
          <w:vertAlign w:val="superscript"/>
        </w:rPr>
        <w:t>nda.</w:t>
      </w:r>
      <w:r w:rsidRPr="00D46593">
        <w:rPr>
          <w:rFonts w:ascii="Book Antiqua" w:eastAsia="Times New Roman" w:hAnsi="Book Antiqua" w:cs="Times New Roman"/>
          <w:color w:val="000000" w:themeColor="text1"/>
          <w:spacing w:val="-3"/>
          <w:szCs w:val="24"/>
        </w:rPr>
        <w:t xml:space="preserve">  Sesión</w:t>
      </w:r>
    </w:p>
    <w:p w14:paraId="63A2B07C" w14:textId="6A67BD85" w:rsidR="00BD7A89" w:rsidRPr="00D46593" w:rsidRDefault="00BD7A89" w:rsidP="00D46593">
      <w:pPr>
        <w:suppressAutoHyphens/>
        <w:rPr>
          <w:rFonts w:ascii="Book Antiqua" w:eastAsia="Times New Roman" w:hAnsi="Book Antiqua" w:cs="Times New Roman"/>
          <w:color w:val="000000" w:themeColor="text1"/>
          <w:spacing w:val="-3"/>
          <w:szCs w:val="24"/>
        </w:rPr>
      </w:pPr>
      <w:r w:rsidRPr="00D46593">
        <w:rPr>
          <w:rFonts w:ascii="Book Antiqua" w:eastAsia="Times New Roman" w:hAnsi="Book Antiqua" w:cs="Times New Roman"/>
          <w:color w:val="000000" w:themeColor="text1"/>
          <w:spacing w:val="-3"/>
          <w:szCs w:val="24"/>
        </w:rPr>
        <w:t xml:space="preserve">   </w:t>
      </w:r>
      <w:r w:rsidR="00D46593">
        <w:rPr>
          <w:rFonts w:ascii="Book Antiqua" w:eastAsia="Times New Roman" w:hAnsi="Book Antiqua" w:cs="Times New Roman"/>
          <w:color w:val="000000" w:themeColor="text1"/>
          <w:spacing w:val="-3"/>
          <w:szCs w:val="24"/>
        </w:rPr>
        <w:t xml:space="preserve">        </w:t>
      </w:r>
      <w:r w:rsidRPr="00D46593">
        <w:rPr>
          <w:rFonts w:ascii="Book Antiqua" w:eastAsia="Times New Roman" w:hAnsi="Book Antiqua" w:cs="Times New Roman"/>
          <w:color w:val="000000" w:themeColor="text1"/>
          <w:spacing w:val="-3"/>
          <w:szCs w:val="24"/>
        </w:rPr>
        <w:t>Legislativa</w:t>
      </w:r>
      <w:r w:rsidRPr="00D46593">
        <w:rPr>
          <w:rFonts w:ascii="Book Antiqua" w:eastAsia="Times New Roman" w:hAnsi="Book Antiqua" w:cs="Times New Roman"/>
          <w:color w:val="000000" w:themeColor="text1"/>
          <w:spacing w:val="-3"/>
          <w:szCs w:val="24"/>
        </w:rPr>
        <w:tab/>
      </w:r>
      <w:r w:rsidRPr="00D46593">
        <w:rPr>
          <w:rFonts w:ascii="Book Antiqua" w:eastAsia="Times New Roman" w:hAnsi="Book Antiqua" w:cs="Times New Roman"/>
          <w:color w:val="000000" w:themeColor="text1"/>
          <w:spacing w:val="-3"/>
          <w:szCs w:val="24"/>
        </w:rPr>
        <w:tab/>
      </w:r>
      <w:r w:rsidRPr="00D46593">
        <w:rPr>
          <w:rFonts w:ascii="Book Antiqua" w:eastAsia="Times New Roman" w:hAnsi="Book Antiqua" w:cs="Times New Roman"/>
          <w:color w:val="000000" w:themeColor="text1"/>
          <w:spacing w:val="-3"/>
          <w:szCs w:val="24"/>
        </w:rPr>
        <w:tab/>
      </w:r>
      <w:r w:rsidRPr="00D46593">
        <w:rPr>
          <w:rFonts w:ascii="Book Antiqua" w:eastAsia="Times New Roman" w:hAnsi="Book Antiqua" w:cs="Times New Roman"/>
          <w:color w:val="000000" w:themeColor="text1"/>
          <w:spacing w:val="-3"/>
          <w:szCs w:val="24"/>
        </w:rPr>
        <w:tab/>
      </w:r>
      <w:r w:rsidRPr="00D46593">
        <w:rPr>
          <w:rFonts w:ascii="Book Antiqua" w:eastAsia="Times New Roman" w:hAnsi="Book Antiqua" w:cs="Times New Roman"/>
          <w:color w:val="000000" w:themeColor="text1"/>
          <w:spacing w:val="-3"/>
          <w:szCs w:val="24"/>
        </w:rPr>
        <w:tab/>
      </w:r>
      <w:r w:rsidRPr="00D46593">
        <w:rPr>
          <w:rFonts w:ascii="Book Antiqua" w:eastAsia="Times New Roman" w:hAnsi="Book Antiqua" w:cs="Times New Roman"/>
          <w:color w:val="000000" w:themeColor="text1"/>
          <w:spacing w:val="-3"/>
          <w:szCs w:val="24"/>
        </w:rPr>
        <w:tab/>
        <w:t xml:space="preserve">                                       </w:t>
      </w:r>
      <w:r w:rsidR="00D46593">
        <w:rPr>
          <w:rFonts w:ascii="Book Antiqua" w:eastAsia="Times New Roman" w:hAnsi="Book Antiqua" w:cs="Times New Roman"/>
          <w:color w:val="000000" w:themeColor="text1"/>
          <w:spacing w:val="-3"/>
          <w:szCs w:val="24"/>
        </w:rPr>
        <w:t xml:space="preserve">       </w:t>
      </w:r>
      <w:r w:rsidRPr="00D46593">
        <w:rPr>
          <w:rFonts w:ascii="Book Antiqua" w:eastAsia="Times New Roman" w:hAnsi="Book Antiqua" w:cs="Times New Roman"/>
          <w:color w:val="000000" w:themeColor="text1"/>
          <w:spacing w:val="-3"/>
          <w:szCs w:val="24"/>
        </w:rPr>
        <w:t>Ordinaria</w:t>
      </w:r>
    </w:p>
    <w:p w14:paraId="735974D6" w14:textId="77777777" w:rsidR="00BD7A89" w:rsidRPr="00A30A23" w:rsidRDefault="00BD7A89" w:rsidP="00BD7A89">
      <w:pPr>
        <w:suppressAutoHyphens/>
        <w:jc w:val="left"/>
        <w:rPr>
          <w:rFonts w:ascii="Book Antiqua" w:eastAsia="Times New Roman" w:hAnsi="Book Antiqua" w:cs="Times New Roman"/>
          <w:b/>
          <w:color w:val="000000" w:themeColor="text1"/>
          <w:szCs w:val="28"/>
        </w:rPr>
      </w:pPr>
    </w:p>
    <w:p w14:paraId="49E4363E" w14:textId="77777777" w:rsidR="00BD7A89" w:rsidRPr="00D46593" w:rsidRDefault="00BD7A89" w:rsidP="00BD7A89">
      <w:pPr>
        <w:suppressAutoHyphens/>
        <w:jc w:val="center"/>
        <w:rPr>
          <w:rFonts w:ascii="Book Antiqua" w:eastAsia="Times New Roman" w:hAnsi="Book Antiqua" w:cs="Times New Roman"/>
          <w:b/>
          <w:color w:val="000000" w:themeColor="text1"/>
          <w:sz w:val="36"/>
        </w:rPr>
      </w:pPr>
      <w:r w:rsidRPr="00D46593">
        <w:rPr>
          <w:rFonts w:ascii="Book Antiqua" w:eastAsia="Times New Roman" w:hAnsi="Book Antiqua" w:cs="Times New Roman"/>
          <w:b/>
          <w:color w:val="000000" w:themeColor="text1"/>
          <w:sz w:val="36"/>
        </w:rPr>
        <w:t>CÁMARA DE REPRESENTANTES</w:t>
      </w:r>
    </w:p>
    <w:p w14:paraId="5301D625" w14:textId="77777777" w:rsidR="00BD7A89" w:rsidRPr="00D46593" w:rsidRDefault="00BD7A89" w:rsidP="00BD7A89">
      <w:pPr>
        <w:suppressLineNumbers/>
        <w:jc w:val="left"/>
        <w:rPr>
          <w:rFonts w:ascii="Book Antiqua" w:eastAsia="Times New Roman" w:hAnsi="Book Antiqua" w:cs="Times New Roman"/>
          <w:color w:val="000000" w:themeColor="text1"/>
          <w:szCs w:val="24"/>
        </w:rPr>
      </w:pPr>
    </w:p>
    <w:p w14:paraId="08811952" w14:textId="2C3D42E8" w:rsidR="00BD7A89" w:rsidRPr="00D46593" w:rsidRDefault="003879C8" w:rsidP="00BD7A89">
      <w:pPr>
        <w:suppressLineNumbers/>
        <w:jc w:val="center"/>
        <w:rPr>
          <w:rFonts w:ascii="Book Antiqua" w:eastAsia="Times New Roman" w:hAnsi="Book Antiqua" w:cs="Times New Roman"/>
          <w:b/>
          <w:color w:val="000000" w:themeColor="text1"/>
          <w:sz w:val="52"/>
          <w:szCs w:val="52"/>
        </w:rPr>
      </w:pPr>
      <w:r w:rsidRPr="00D46593">
        <w:rPr>
          <w:rFonts w:ascii="Book Antiqua" w:eastAsia="Times New Roman" w:hAnsi="Book Antiqua" w:cs="Times New Roman"/>
          <w:b/>
          <w:color w:val="000000" w:themeColor="text1"/>
          <w:sz w:val="52"/>
          <w:szCs w:val="52"/>
        </w:rPr>
        <w:t>R. C</w:t>
      </w:r>
      <w:r w:rsidR="00BD7A89" w:rsidRPr="00D46593">
        <w:rPr>
          <w:rFonts w:ascii="Book Antiqua" w:eastAsia="Times New Roman" w:hAnsi="Book Antiqua" w:cs="Times New Roman"/>
          <w:b/>
          <w:color w:val="000000" w:themeColor="text1"/>
          <w:sz w:val="52"/>
          <w:szCs w:val="52"/>
        </w:rPr>
        <w:t xml:space="preserve">. de la C. </w:t>
      </w:r>
      <w:r w:rsidR="00B847C6" w:rsidRPr="00D46593">
        <w:rPr>
          <w:rFonts w:ascii="Book Antiqua" w:eastAsia="Times New Roman" w:hAnsi="Book Antiqua" w:cs="Times New Roman"/>
          <w:b/>
          <w:color w:val="000000" w:themeColor="text1"/>
          <w:sz w:val="52"/>
          <w:szCs w:val="52"/>
        </w:rPr>
        <w:t>231</w:t>
      </w:r>
    </w:p>
    <w:p w14:paraId="5BB50407" w14:textId="77777777" w:rsidR="00BD7A89" w:rsidRPr="00D46593" w:rsidRDefault="00BD7A89" w:rsidP="00BD7A89">
      <w:pPr>
        <w:jc w:val="left"/>
        <w:rPr>
          <w:rFonts w:ascii="Book Antiqua" w:eastAsia="Times New Roman" w:hAnsi="Book Antiqua" w:cs="Times New Roman"/>
          <w:b/>
          <w:color w:val="000000" w:themeColor="text1"/>
          <w:szCs w:val="24"/>
        </w:rPr>
      </w:pPr>
    </w:p>
    <w:p w14:paraId="4A6864F2" w14:textId="5F6D8480" w:rsidR="00BD7A89" w:rsidRPr="00D46593" w:rsidRDefault="00B847C6" w:rsidP="00BD7A89">
      <w:pPr>
        <w:jc w:val="center"/>
        <w:rPr>
          <w:rFonts w:ascii="Book Antiqua" w:eastAsia="Times New Roman" w:hAnsi="Book Antiqua" w:cs="Times New Roman"/>
          <w:color w:val="000000" w:themeColor="text1"/>
          <w:szCs w:val="24"/>
        </w:rPr>
      </w:pPr>
      <w:r w:rsidRPr="00D46593">
        <w:rPr>
          <w:rFonts w:ascii="Book Antiqua" w:eastAsia="Times New Roman" w:hAnsi="Book Antiqua" w:cs="Times New Roman"/>
          <w:color w:val="000000" w:themeColor="text1"/>
          <w:szCs w:val="24"/>
        </w:rPr>
        <w:t>30</w:t>
      </w:r>
      <w:r w:rsidR="00BD7A89" w:rsidRPr="00D46593">
        <w:rPr>
          <w:rFonts w:ascii="Book Antiqua" w:eastAsia="Times New Roman" w:hAnsi="Book Antiqua" w:cs="Times New Roman"/>
          <w:color w:val="000000" w:themeColor="text1"/>
          <w:szCs w:val="24"/>
        </w:rPr>
        <w:t xml:space="preserve"> DE SEPTIEMBRE DE 2021</w:t>
      </w:r>
    </w:p>
    <w:p w14:paraId="21F5810A" w14:textId="77777777" w:rsidR="00BD7A89" w:rsidRPr="00D46593" w:rsidRDefault="00BD7A89" w:rsidP="00BD7A89">
      <w:pPr>
        <w:jc w:val="center"/>
        <w:rPr>
          <w:rFonts w:ascii="Book Antiqua" w:eastAsia="Times New Roman" w:hAnsi="Book Antiqua" w:cs="Times New Roman"/>
          <w:color w:val="000000" w:themeColor="text1"/>
          <w:szCs w:val="24"/>
        </w:rPr>
      </w:pPr>
    </w:p>
    <w:p w14:paraId="62643067" w14:textId="53C211A6" w:rsidR="00BD7A89" w:rsidRPr="00D46593" w:rsidRDefault="00BD7A89" w:rsidP="00BD7A89">
      <w:pPr>
        <w:jc w:val="center"/>
        <w:rPr>
          <w:rFonts w:ascii="Book Antiqua" w:eastAsia="Times New Roman" w:hAnsi="Book Antiqua" w:cs="Times New Roman"/>
          <w:i/>
          <w:color w:val="000000" w:themeColor="text1"/>
          <w:szCs w:val="24"/>
        </w:rPr>
      </w:pPr>
      <w:r w:rsidRPr="00D46593">
        <w:rPr>
          <w:rFonts w:ascii="Book Antiqua" w:eastAsia="Times New Roman" w:hAnsi="Book Antiqua" w:cs="Times New Roman"/>
          <w:color w:val="000000" w:themeColor="text1"/>
          <w:szCs w:val="24"/>
        </w:rPr>
        <w:t>Presentad</w:t>
      </w:r>
      <w:r w:rsidR="00D46593">
        <w:rPr>
          <w:rFonts w:ascii="Book Antiqua" w:eastAsia="Times New Roman" w:hAnsi="Book Antiqua" w:cs="Times New Roman"/>
          <w:color w:val="000000" w:themeColor="text1"/>
          <w:szCs w:val="24"/>
        </w:rPr>
        <w:t>a</w:t>
      </w:r>
      <w:r w:rsidRPr="00D46593">
        <w:rPr>
          <w:rFonts w:ascii="Book Antiqua" w:eastAsia="Times New Roman" w:hAnsi="Book Antiqua" w:cs="Times New Roman"/>
          <w:color w:val="000000" w:themeColor="text1"/>
          <w:szCs w:val="24"/>
        </w:rPr>
        <w:t xml:space="preserve"> por el Representante </w:t>
      </w:r>
      <w:r w:rsidRPr="00D46593">
        <w:rPr>
          <w:rFonts w:ascii="Book Antiqua" w:eastAsia="Times New Roman" w:hAnsi="Book Antiqua" w:cs="Times New Roman"/>
          <w:i/>
          <w:color w:val="000000" w:themeColor="text1"/>
          <w:szCs w:val="24"/>
        </w:rPr>
        <w:t>Santiago Nieves</w:t>
      </w:r>
    </w:p>
    <w:p w14:paraId="38A1BC1B" w14:textId="77777777" w:rsidR="00BD7A89" w:rsidRPr="00D46593" w:rsidRDefault="00BD7A89" w:rsidP="00BD7A89">
      <w:pPr>
        <w:jc w:val="center"/>
        <w:rPr>
          <w:rFonts w:ascii="Book Antiqua" w:eastAsia="Times New Roman" w:hAnsi="Book Antiqua" w:cs="Times New Roman"/>
          <w:color w:val="000000" w:themeColor="text1"/>
          <w:szCs w:val="24"/>
        </w:rPr>
      </w:pPr>
    </w:p>
    <w:p w14:paraId="2FBA25BC" w14:textId="18AD1752" w:rsidR="00BD7A89" w:rsidRPr="00D46593" w:rsidRDefault="00BD7A89" w:rsidP="00BD7A89">
      <w:pPr>
        <w:jc w:val="center"/>
        <w:rPr>
          <w:rFonts w:ascii="Book Antiqua" w:eastAsia="Times New Roman" w:hAnsi="Book Antiqua" w:cs="Times New Roman"/>
          <w:color w:val="000000" w:themeColor="text1"/>
          <w:szCs w:val="24"/>
        </w:rPr>
      </w:pPr>
      <w:r w:rsidRPr="00D46593">
        <w:rPr>
          <w:rFonts w:ascii="Book Antiqua" w:eastAsia="Times New Roman" w:hAnsi="Book Antiqua" w:cs="Times New Roman"/>
          <w:color w:val="000000" w:themeColor="text1"/>
          <w:szCs w:val="24"/>
        </w:rPr>
        <w:t>Referid</w:t>
      </w:r>
      <w:r w:rsidR="00D46593">
        <w:rPr>
          <w:rFonts w:ascii="Book Antiqua" w:eastAsia="Times New Roman" w:hAnsi="Book Antiqua" w:cs="Times New Roman"/>
          <w:color w:val="000000" w:themeColor="text1"/>
          <w:szCs w:val="24"/>
        </w:rPr>
        <w:t>a a la Comisión</w:t>
      </w:r>
      <w:r w:rsidR="00A30A23">
        <w:rPr>
          <w:rFonts w:ascii="Book Antiqua" w:eastAsia="Times New Roman" w:hAnsi="Book Antiqua" w:cs="Times New Roman"/>
          <w:color w:val="000000" w:themeColor="text1"/>
          <w:szCs w:val="24"/>
        </w:rPr>
        <w:t xml:space="preserve"> de Desarrollo Económico, Planificación, Telecomunicaciones, Alianzas Público Privadas y Energía</w:t>
      </w:r>
    </w:p>
    <w:p w14:paraId="1346738B" w14:textId="77777777" w:rsidR="00BD7A89" w:rsidRPr="00D46593" w:rsidRDefault="00BD7A89" w:rsidP="00BD7A89">
      <w:pPr>
        <w:jc w:val="center"/>
        <w:rPr>
          <w:rFonts w:ascii="Book Antiqua" w:eastAsia="Times New Roman" w:hAnsi="Book Antiqua" w:cs="Times New Roman"/>
          <w:color w:val="000000" w:themeColor="text1"/>
          <w:szCs w:val="24"/>
        </w:rPr>
      </w:pPr>
    </w:p>
    <w:p w14:paraId="6306139A" w14:textId="41A253F0" w:rsidR="00BD7A89" w:rsidRPr="00D46593" w:rsidRDefault="003110DD" w:rsidP="00BD7A89">
      <w:pPr>
        <w:jc w:val="center"/>
        <w:rPr>
          <w:rFonts w:ascii="Book Antiqua" w:eastAsia="Times New Roman" w:hAnsi="Book Antiqua" w:cs="Times New Roman"/>
          <w:b/>
          <w:color w:val="000000" w:themeColor="text1"/>
          <w:sz w:val="28"/>
          <w:szCs w:val="28"/>
        </w:rPr>
      </w:pPr>
      <w:r w:rsidRPr="00D46593">
        <w:rPr>
          <w:rFonts w:ascii="Book Antiqua" w:eastAsia="Times New Roman" w:hAnsi="Book Antiqua" w:cs="Times New Roman"/>
          <w:b/>
          <w:color w:val="000000" w:themeColor="text1"/>
          <w:sz w:val="28"/>
          <w:szCs w:val="28"/>
        </w:rPr>
        <w:t>RESOLUCIÓN CONJUNTA</w:t>
      </w:r>
    </w:p>
    <w:p w14:paraId="7B2ADD8C" w14:textId="77777777" w:rsidR="00BD7A89" w:rsidRPr="00D46593" w:rsidRDefault="00BD7A89" w:rsidP="00BD7A89">
      <w:pPr>
        <w:jc w:val="center"/>
        <w:rPr>
          <w:rFonts w:ascii="Book Antiqua" w:eastAsia="Times New Roman" w:hAnsi="Book Antiqua" w:cs="Times New Roman"/>
          <w:b/>
          <w:color w:val="000000" w:themeColor="text1"/>
          <w:szCs w:val="24"/>
        </w:rPr>
      </w:pPr>
      <w:r w:rsidRPr="00D46593">
        <w:rPr>
          <w:rFonts w:ascii="Book Antiqua" w:eastAsia="Times New Roman" w:hAnsi="Book Antiqua" w:cs="Times New Roman"/>
          <w:b/>
          <w:color w:val="000000" w:themeColor="text1"/>
          <w:szCs w:val="24"/>
        </w:rPr>
        <w:t xml:space="preserve">                                                    </w:t>
      </w:r>
    </w:p>
    <w:p w14:paraId="36824590" w14:textId="26A38C91" w:rsidR="00BD7A89" w:rsidRPr="00D46593" w:rsidRDefault="00BD7A89" w:rsidP="008D2A66">
      <w:pPr>
        <w:ind w:left="630" w:hanging="630"/>
        <w:rPr>
          <w:rFonts w:ascii="Book Antiqua" w:eastAsia="Times New Roman" w:hAnsi="Book Antiqua" w:cs="Times New Roman"/>
          <w:color w:val="000000" w:themeColor="text1"/>
          <w:szCs w:val="24"/>
        </w:rPr>
      </w:pPr>
      <w:r w:rsidRPr="00D46593">
        <w:rPr>
          <w:rFonts w:ascii="Book Antiqua" w:eastAsia="Times New Roman" w:hAnsi="Book Antiqua" w:cs="Times New Roman"/>
          <w:color w:val="000000" w:themeColor="text1"/>
          <w:szCs w:val="24"/>
        </w:rPr>
        <w:t xml:space="preserve">Para </w:t>
      </w:r>
      <w:r w:rsidR="00825593" w:rsidRPr="00D46593">
        <w:rPr>
          <w:rFonts w:ascii="Book Antiqua" w:eastAsia="Times New Roman" w:hAnsi="Book Antiqua" w:cs="Times New Roman"/>
          <w:color w:val="000000" w:themeColor="text1"/>
          <w:szCs w:val="24"/>
        </w:rPr>
        <w:t>o</w:t>
      </w:r>
      <w:r w:rsidR="003879C8" w:rsidRPr="00D46593">
        <w:rPr>
          <w:rFonts w:ascii="Book Antiqua" w:eastAsia="Times New Roman" w:hAnsi="Book Antiqua" w:cs="Times New Roman"/>
          <w:color w:val="000000" w:themeColor="text1"/>
          <w:szCs w:val="24"/>
        </w:rPr>
        <w:t>rdenar a la Autoridad de Energía Eléctrica</w:t>
      </w:r>
      <w:r w:rsidR="004812AE" w:rsidRPr="00D46593">
        <w:rPr>
          <w:rFonts w:ascii="Book Antiqua" w:eastAsia="Times New Roman" w:hAnsi="Book Antiqua" w:cs="Times New Roman"/>
          <w:color w:val="000000" w:themeColor="text1"/>
          <w:szCs w:val="24"/>
        </w:rPr>
        <w:t>, incluyendo a su ente administrador</w:t>
      </w:r>
      <w:r w:rsidR="00DA4227" w:rsidRPr="00D46593">
        <w:rPr>
          <w:rFonts w:ascii="Book Antiqua" w:eastAsia="Times New Roman" w:hAnsi="Book Antiqua" w:cs="Times New Roman"/>
          <w:color w:val="000000" w:themeColor="text1"/>
          <w:szCs w:val="24"/>
        </w:rPr>
        <w:t xml:space="preserve"> </w:t>
      </w:r>
      <w:r w:rsidR="00DA4227" w:rsidRPr="00D46593">
        <w:rPr>
          <w:rFonts w:ascii="Book Antiqua" w:eastAsia="Times New Roman" w:hAnsi="Book Antiqua" w:cs="Arial"/>
          <w:i/>
          <w:color w:val="222222"/>
          <w:szCs w:val="24"/>
        </w:rPr>
        <w:t xml:space="preserve">LUMA Energy, LLC </w:t>
      </w:r>
      <w:r w:rsidR="00DA4227" w:rsidRPr="00D46593">
        <w:rPr>
          <w:rFonts w:ascii="Book Antiqua" w:eastAsia="Times New Roman" w:hAnsi="Book Antiqua" w:cs="Arial"/>
          <w:iCs/>
          <w:color w:val="222222"/>
          <w:szCs w:val="24"/>
        </w:rPr>
        <w:t>y</w:t>
      </w:r>
      <w:r w:rsidR="00DA4227" w:rsidRPr="00D46593">
        <w:rPr>
          <w:rFonts w:ascii="Book Antiqua" w:eastAsia="Times New Roman" w:hAnsi="Book Antiqua" w:cs="Arial"/>
          <w:i/>
          <w:color w:val="222222"/>
          <w:szCs w:val="24"/>
        </w:rPr>
        <w:t xml:space="preserve"> LUMA </w:t>
      </w:r>
      <w:proofErr w:type="spellStart"/>
      <w:r w:rsidR="00DA4227" w:rsidRPr="00D46593">
        <w:rPr>
          <w:rFonts w:ascii="Book Antiqua" w:eastAsia="Times New Roman" w:hAnsi="Book Antiqua" w:cs="Arial"/>
          <w:i/>
          <w:color w:val="222222"/>
          <w:szCs w:val="24"/>
        </w:rPr>
        <w:t>Energy</w:t>
      </w:r>
      <w:proofErr w:type="spellEnd"/>
      <w:r w:rsidR="00DA4227" w:rsidRPr="00D46593">
        <w:rPr>
          <w:rFonts w:ascii="Book Antiqua" w:eastAsia="Times New Roman" w:hAnsi="Book Antiqua" w:cs="Arial"/>
          <w:i/>
          <w:color w:val="222222"/>
          <w:szCs w:val="24"/>
        </w:rPr>
        <w:t xml:space="preserve"> </w:t>
      </w:r>
      <w:proofErr w:type="spellStart"/>
      <w:r w:rsidR="00DA4227" w:rsidRPr="00D46593">
        <w:rPr>
          <w:rFonts w:ascii="Book Antiqua" w:eastAsia="Times New Roman" w:hAnsi="Book Antiqua" w:cs="Arial"/>
          <w:i/>
          <w:color w:val="222222"/>
          <w:szCs w:val="24"/>
        </w:rPr>
        <w:t>Servco</w:t>
      </w:r>
      <w:proofErr w:type="spellEnd"/>
      <w:r w:rsidR="00DA4227" w:rsidRPr="00D46593">
        <w:rPr>
          <w:rFonts w:ascii="Book Antiqua" w:eastAsia="Times New Roman" w:hAnsi="Book Antiqua" w:cs="Arial"/>
          <w:i/>
          <w:color w:val="222222"/>
          <w:szCs w:val="24"/>
        </w:rPr>
        <w:t xml:space="preserve">, LLC </w:t>
      </w:r>
      <w:r w:rsidR="00DA4227" w:rsidRPr="00D46593">
        <w:rPr>
          <w:rFonts w:ascii="Book Antiqua" w:eastAsia="Times New Roman" w:hAnsi="Book Antiqua" w:cs="Arial"/>
          <w:iCs/>
          <w:color w:val="222222"/>
          <w:szCs w:val="24"/>
        </w:rPr>
        <w:t>y/o cualquier sucesora en derecho, subsidiaria</w:t>
      </w:r>
      <w:r w:rsidR="004812AE" w:rsidRPr="00D46593">
        <w:rPr>
          <w:rFonts w:ascii="Book Antiqua" w:eastAsia="Times New Roman" w:hAnsi="Book Antiqua" w:cs="Times New Roman"/>
          <w:color w:val="000000" w:themeColor="text1"/>
          <w:szCs w:val="24"/>
        </w:rPr>
        <w:t>,</w:t>
      </w:r>
      <w:r w:rsidR="00DA4227" w:rsidRPr="00D46593">
        <w:rPr>
          <w:rFonts w:ascii="Book Antiqua" w:eastAsia="Times New Roman" w:hAnsi="Book Antiqua" w:cs="Times New Roman"/>
          <w:color w:val="000000" w:themeColor="text1"/>
          <w:szCs w:val="24"/>
        </w:rPr>
        <w:t xml:space="preserve"> o administradora,</w:t>
      </w:r>
      <w:r w:rsidR="003879C8" w:rsidRPr="00D46593">
        <w:rPr>
          <w:rFonts w:ascii="Book Antiqua" w:eastAsia="Times New Roman" w:hAnsi="Book Antiqua" w:cs="Times New Roman"/>
          <w:color w:val="000000" w:themeColor="text1"/>
          <w:szCs w:val="24"/>
        </w:rPr>
        <w:t xml:space="preserve"> a o</w:t>
      </w:r>
      <w:r w:rsidR="00825593" w:rsidRPr="00D46593">
        <w:rPr>
          <w:rFonts w:ascii="Book Antiqua" w:eastAsia="Times New Roman" w:hAnsi="Book Antiqua" w:cs="Times New Roman"/>
          <w:color w:val="000000" w:themeColor="text1"/>
          <w:szCs w:val="24"/>
        </w:rPr>
        <w:t>torgar</w:t>
      </w:r>
      <w:r w:rsidR="00196ABA" w:rsidRPr="00D46593">
        <w:rPr>
          <w:rFonts w:ascii="Book Antiqua" w:eastAsia="Times New Roman" w:hAnsi="Book Antiqua" w:cs="Times New Roman"/>
          <w:color w:val="000000" w:themeColor="text1"/>
          <w:szCs w:val="24"/>
        </w:rPr>
        <w:t xml:space="preserve">, a cualquier abonado, comercial o residencial, </w:t>
      </w:r>
      <w:r w:rsidR="00825593" w:rsidRPr="00D46593">
        <w:rPr>
          <w:rFonts w:ascii="Book Antiqua" w:eastAsia="Times New Roman" w:hAnsi="Book Antiqua" w:cs="Times New Roman"/>
          <w:color w:val="000000" w:themeColor="text1"/>
          <w:szCs w:val="24"/>
        </w:rPr>
        <w:t>un crédito correspondiente al valor de reparación o sustitución de cualquier artículo electrodoméstico, enser o equipo</w:t>
      </w:r>
      <w:r w:rsidR="00196ABA" w:rsidRPr="00D46593">
        <w:rPr>
          <w:rFonts w:ascii="Book Antiqua" w:eastAsia="Times New Roman" w:hAnsi="Book Antiqua" w:cs="Times New Roman"/>
          <w:color w:val="000000" w:themeColor="text1"/>
          <w:szCs w:val="24"/>
        </w:rPr>
        <w:t xml:space="preserve"> </w:t>
      </w:r>
      <w:r w:rsidR="00196ABA" w:rsidRPr="00D46593">
        <w:rPr>
          <w:rFonts w:ascii="Book Antiqua" w:eastAsia="Times New Roman" w:hAnsi="Book Antiqua" w:cs="Times New Roman"/>
          <w:szCs w:val="24"/>
        </w:rPr>
        <w:t xml:space="preserve">dañado </w:t>
      </w:r>
      <w:r w:rsidR="00196ABA" w:rsidRPr="00D46593">
        <w:rPr>
          <w:rFonts w:ascii="Book Antiqua" w:eastAsia="Times New Roman" w:hAnsi="Book Antiqua" w:cs="Times New Roman"/>
          <w:szCs w:val="20"/>
          <w:lang w:eastAsia="x-none"/>
        </w:rPr>
        <w:t>a causa de apagones, fluctuaciones o bajas en el voltaje del sistema eléctrico del País</w:t>
      </w:r>
      <w:r w:rsidR="00196ABA" w:rsidRPr="00D46593">
        <w:rPr>
          <w:rFonts w:ascii="Book Antiqua" w:eastAsia="Times New Roman" w:hAnsi="Book Antiqua" w:cs="Times New Roman"/>
          <w:color w:val="000000" w:themeColor="text1"/>
          <w:szCs w:val="24"/>
        </w:rPr>
        <w:t>; disponer los requisitos para la solicitud del crédito según el costo estimado de sustitución o reparación; reconocer una cuantía correspondiente al diez por ciento (</w:t>
      </w:r>
      <w:r w:rsidR="00825593" w:rsidRPr="00D46593">
        <w:rPr>
          <w:rFonts w:ascii="Book Antiqua" w:eastAsia="Times New Roman" w:hAnsi="Book Antiqua" w:cs="Times New Roman"/>
          <w:color w:val="000000" w:themeColor="text1"/>
          <w:szCs w:val="24"/>
        </w:rPr>
        <w:t>10%</w:t>
      </w:r>
      <w:r w:rsidR="00196ABA" w:rsidRPr="00D46593">
        <w:rPr>
          <w:rFonts w:ascii="Book Antiqua" w:eastAsia="Times New Roman" w:hAnsi="Book Antiqua" w:cs="Times New Roman"/>
          <w:color w:val="000000" w:themeColor="text1"/>
          <w:szCs w:val="24"/>
        </w:rPr>
        <w:t>) del crédito a otorgarse para cubrir los gastos de solicitud del crédito aquí establecido</w:t>
      </w:r>
      <w:r w:rsidRPr="00D46593">
        <w:rPr>
          <w:rFonts w:ascii="Book Antiqua" w:eastAsia="Times New Roman" w:hAnsi="Book Antiqua" w:cs="Times New Roman"/>
          <w:color w:val="000000" w:themeColor="text1"/>
          <w:szCs w:val="24"/>
        </w:rPr>
        <w:t xml:space="preserve">; </w:t>
      </w:r>
      <w:r w:rsidR="00196ABA" w:rsidRPr="00D46593">
        <w:rPr>
          <w:rFonts w:ascii="Book Antiqua" w:eastAsia="Times New Roman" w:hAnsi="Book Antiqua" w:cs="Times New Roman"/>
          <w:color w:val="000000" w:themeColor="text1"/>
          <w:szCs w:val="24"/>
        </w:rPr>
        <w:t xml:space="preserve">promulgar reglamentación uniforme para las reclamaciones de tal naturaleza; </w:t>
      </w:r>
      <w:r w:rsidRPr="00D46593">
        <w:rPr>
          <w:rFonts w:ascii="Book Antiqua" w:eastAsia="Times New Roman" w:hAnsi="Book Antiqua" w:cs="Times New Roman"/>
          <w:color w:val="000000" w:themeColor="text1"/>
          <w:szCs w:val="24"/>
        </w:rPr>
        <w:t xml:space="preserve">y para otros fines relacionados. </w:t>
      </w:r>
    </w:p>
    <w:p w14:paraId="3EB368F9" w14:textId="77777777" w:rsidR="00BD7A89" w:rsidRPr="00D46593" w:rsidRDefault="00BD7A89" w:rsidP="00BD7A89">
      <w:pPr>
        <w:jc w:val="left"/>
        <w:rPr>
          <w:rFonts w:ascii="Book Antiqua" w:eastAsia="Times New Roman" w:hAnsi="Book Antiqua" w:cs="Times New Roman"/>
          <w:color w:val="000000" w:themeColor="text1"/>
          <w:szCs w:val="24"/>
        </w:rPr>
      </w:pPr>
    </w:p>
    <w:p w14:paraId="03CEF320" w14:textId="77777777" w:rsidR="00BD7A89" w:rsidRPr="00D46593" w:rsidRDefault="00BD7A89" w:rsidP="00BD7A89">
      <w:pPr>
        <w:jc w:val="center"/>
        <w:rPr>
          <w:rFonts w:ascii="Book Antiqua" w:eastAsia="Times New Roman" w:hAnsi="Book Antiqua" w:cs="Times New Roman"/>
          <w:color w:val="000000" w:themeColor="text1"/>
          <w:szCs w:val="24"/>
        </w:rPr>
      </w:pPr>
      <w:r w:rsidRPr="00D46593">
        <w:rPr>
          <w:rFonts w:ascii="Book Antiqua" w:eastAsia="Times New Roman" w:hAnsi="Book Antiqua" w:cs="Times New Roman"/>
          <w:color w:val="000000" w:themeColor="text1"/>
          <w:szCs w:val="24"/>
        </w:rPr>
        <w:t>EXPOSICIÓN DE MOTIVOS</w:t>
      </w:r>
    </w:p>
    <w:p w14:paraId="3551BDDC" w14:textId="4F1CCF49" w:rsidR="00BD7A89" w:rsidRPr="00D46593" w:rsidRDefault="00BD7A89" w:rsidP="00BD7A89">
      <w:pPr>
        <w:rPr>
          <w:rFonts w:ascii="Book Antiqua" w:eastAsia="Times New Roman" w:hAnsi="Book Antiqua" w:cs="Times New Roman"/>
          <w:bCs/>
          <w:color w:val="000000" w:themeColor="text1"/>
          <w:szCs w:val="24"/>
        </w:rPr>
      </w:pPr>
    </w:p>
    <w:p w14:paraId="159EE5CB" w14:textId="77777777" w:rsidR="005C6BD4" w:rsidRDefault="00CB0868" w:rsidP="005C6BD4">
      <w:pPr>
        <w:overflowPunct w:val="0"/>
        <w:autoSpaceDE w:val="0"/>
        <w:autoSpaceDN w:val="0"/>
        <w:adjustRightInd w:val="0"/>
        <w:ind w:firstLine="708"/>
        <w:textAlignment w:val="baseline"/>
        <w:rPr>
          <w:rFonts w:ascii="Book Antiqua" w:eastAsia="Times New Roman" w:hAnsi="Book Antiqua" w:cs="Times New Roman"/>
          <w:szCs w:val="24"/>
        </w:rPr>
      </w:pPr>
      <w:r w:rsidRPr="00D46593">
        <w:rPr>
          <w:rFonts w:ascii="Book Antiqua" w:eastAsia="Times New Roman" w:hAnsi="Book Antiqua" w:cs="Times New Roman"/>
          <w:szCs w:val="24"/>
        </w:rPr>
        <w:t xml:space="preserve">A principios del año 2018, el entonces gobernador de Puerto Rico, Ricardo Rosselló Nevares, anunció una transformación al sistema energético de Puerto Rico. Su anuncio fue respaldado por la presentación de lo que se convirtió en la Ley Núm. 120-2018, según enmendada, conocida como la “Ley para Transformar el Sistema Eléctrico de Puerto Rico”. Entre los fundamentos para aprobar dicha legislación, se alegó el deterioro en que se encontraba la infraestructura de la Autoridad de Energía Eléctrica (AEE), que entonces era veintiocho (28) años más viejas que el promedio de sistemas en la industria de la </w:t>
      </w:r>
      <w:r w:rsidRPr="00D46593">
        <w:rPr>
          <w:rFonts w:ascii="Book Antiqua" w:eastAsia="Times New Roman" w:hAnsi="Book Antiqua" w:cs="Times New Roman"/>
          <w:szCs w:val="24"/>
        </w:rPr>
        <w:lastRenderedPageBreak/>
        <w:t xml:space="preserve">energía eléctrica en los Estados Unidos, y que se encontraba en una situación de extrema vulnerabilidad tras el paso de los huracanes Irma y María sobre la Isla. </w:t>
      </w:r>
    </w:p>
    <w:p w14:paraId="3CBCD2EF" w14:textId="77777777" w:rsidR="00A30A23" w:rsidRPr="00D46593" w:rsidRDefault="00A30A23" w:rsidP="005C6BD4">
      <w:pPr>
        <w:overflowPunct w:val="0"/>
        <w:autoSpaceDE w:val="0"/>
        <w:autoSpaceDN w:val="0"/>
        <w:adjustRightInd w:val="0"/>
        <w:ind w:firstLine="708"/>
        <w:textAlignment w:val="baseline"/>
        <w:rPr>
          <w:rFonts w:ascii="Book Antiqua" w:eastAsia="Times New Roman" w:hAnsi="Book Antiqua" w:cs="Times New Roman"/>
          <w:szCs w:val="24"/>
        </w:rPr>
      </w:pPr>
    </w:p>
    <w:p w14:paraId="233E1CC3" w14:textId="24EC3BAC" w:rsidR="005C6BD4" w:rsidRPr="00D46593" w:rsidRDefault="00CB0868" w:rsidP="005C6BD4">
      <w:pPr>
        <w:overflowPunct w:val="0"/>
        <w:autoSpaceDE w:val="0"/>
        <w:autoSpaceDN w:val="0"/>
        <w:adjustRightInd w:val="0"/>
        <w:ind w:firstLine="708"/>
        <w:textAlignment w:val="baseline"/>
        <w:rPr>
          <w:rFonts w:ascii="Book Antiqua" w:eastAsia="Times New Roman" w:hAnsi="Book Antiqua" w:cs="Times New Roman"/>
          <w:szCs w:val="24"/>
        </w:rPr>
      </w:pPr>
      <w:r w:rsidRPr="00D46593">
        <w:rPr>
          <w:rFonts w:ascii="Book Antiqua" w:eastAsia="Times New Roman" w:hAnsi="Book Antiqua" w:cs="Times New Roman"/>
          <w:szCs w:val="24"/>
        </w:rPr>
        <w:t xml:space="preserve">Al amparo de la política aspiracional plasmada en la Ley Núm. 120-2018 para transformar el sistema energético del País en uno moderno, sostenible, confiable, eficiente, y costo-efectivo, el promulgado estatuto </w:t>
      </w:r>
      <w:r w:rsidR="005C6BD4" w:rsidRPr="00D46593">
        <w:rPr>
          <w:rFonts w:ascii="Book Antiqua" w:eastAsia="Times New Roman" w:hAnsi="Book Antiqua" w:cs="Times New Roman"/>
          <w:szCs w:val="24"/>
        </w:rPr>
        <w:t>propició</w:t>
      </w:r>
      <w:r w:rsidRPr="00D46593">
        <w:rPr>
          <w:rFonts w:ascii="Book Antiqua" w:eastAsia="Times New Roman" w:hAnsi="Book Antiqua" w:cs="Times New Roman"/>
          <w:szCs w:val="24"/>
        </w:rPr>
        <w:t xml:space="preserve"> abrir la convocatoria para las empresas interesadas en invertir sobre el deteriorado pero rentable sistema eléctrico local.</w:t>
      </w:r>
      <w:r w:rsidR="00501731" w:rsidRPr="00D46593">
        <w:rPr>
          <w:rFonts w:ascii="Book Antiqua" w:eastAsia="Times New Roman" w:hAnsi="Book Antiqua" w:cs="Times New Roman"/>
          <w:szCs w:val="24"/>
        </w:rPr>
        <w:t xml:space="preserve"> </w:t>
      </w:r>
      <w:r w:rsidRPr="00D46593">
        <w:rPr>
          <w:rFonts w:ascii="Book Antiqua" w:eastAsia="Times New Roman" w:hAnsi="Book Antiqua" w:cs="Times New Roman"/>
          <w:szCs w:val="24"/>
        </w:rPr>
        <w:t>L</w:t>
      </w:r>
      <w:r w:rsidR="00501731" w:rsidRPr="00D46593">
        <w:rPr>
          <w:rFonts w:ascii="Book Antiqua" w:eastAsia="Times New Roman" w:hAnsi="Book Antiqua" w:cs="Times New Roman"/>
          <w:szCs w:val="24"/>
        </w:rPr>
        <w:t>o anterior tomando en cuenta que la</w:t>
      </w:r>
      <w:r w:rsidRPr="00D46593">
        <w:rPr>
          <w:rFonts w:ascii="Book Antiqua" w:eastAsia="Times New Roman" w:hAnsi="Book Antiqua" w:cs="Times New Roman"/>
          <w:szCs w:val="24"/>
        </w:rPr>
        <w:t xml:space="preserve"> ley permitiría que la Autoridad </w:t>
      </w:r>
      <w:r w:rsidR="005C6BD4" w:rsidRPr="00D46593">
        <w:rPr>
          <w:rFonts w:ascii="Book Antiqua" w:eastAsia="Times New Roman" w:hAnsi="Book Antiqua" w:cs="Times New Roman"/>
          <w:szCs w:val="24"/>
        </w:rPr>
        <w:t xml:space="preserve">de Energía Eléctrica </w:t>
      </w:r>
      <w:r w:rsidRPr="00D46593">
        <w:rPr>
          <w:rFonts w:ascii="Book Antiqua" w:eastAsia="Times New Roman" w:hAnsi="Book Antiqua" w:cs="Times New Roman"/>
          <w:szCs w:val="24"/>
        </w:rPr>
        <w:t xml:space="preserve">vendiera sus activos relacionados a la generación y transfiriera o delegara sus operaciones, funciones o servicios en la </w:t>
      </w:r>
      <w:r w:rsidR="005C6BD4" w:rsidRPr="00D46593">
        <w:rPr>
          <w:rFonts w:ascii="Book Antiqua" w:eastAsia="Times New Roman" w:hAnsi="Book Antiqua" w:cs="Times New Roman"/>
          <w:szCs w:val="24"/>
        </w:rPr>
        <w:t>a</w:t>
      </w:r>
      <w:r w:rsidRPr="00D46593">
        <w:rPr>
          <w:rFonts w:ascii="Book Antiqua" w:eastAsia="Times New Roman" w:hAnsi="Book Antiqua" w:cs="Times New Roman"/>
          <w:szCs w:val="24"/>
        </w:rPr>
        <w:t xml:space="preserve">lianza </w:t>
      </w:r>
      <w:r w:rsidR="005C6BD4" w:rsidRPr="00D46593">
        <w:rPr>
          <w:rFonts w:ascii="Book Antiqua" w:eastAsia="Times New Roman" w:hAnsi="Book Antiqua" w:cs="Times New Roman"/>
          <w:szCs w:val="24"/>
        </w:rPr>
        <w:t>p</w:t>
      </w:r>
      <w:r w:rsidRPr="00D46593">
        <w:rPr>
          <w:rFonts w:ascii="Book Antiqua" w:eastAsia="Times New Roman" w:hAnsi="Book Antiqua" w:cs="Times New Roman"/>
          <w:szCs w:val="24"/>
        </w:rPr>
        <w:t>úblico</w:t>
      </w:r>
      <w:r w:rsidR="005C6BD4" w:rsidRPr="00D46593">
        <w:rPr>
          <w:rFonts w:ascii="Book Antiqua" w:eastAsia="Times New Roman" w:hAnsi="Book Antiqua" w:cs="Times New Roman"/>
          <w:szCs w:val="24"/>
        </w:rPr>
        <w:t>-p</w:t>
      </w:r>
      <w:r w:rsidRPr="00D46593">
        <w:rPr>
          <w:rFonts w:ascii="Book Antiqua" w:eastAsia="Times New Roman" w:hAnsi="Book Antiqua" w:cs="Times New Roman"/>
          <w:szCs w:val="24"/>
        </w:rPr>
        <w:t>rivada que se estableciera.</w:t>
      </w:r>
      <w:r w:rsidR="005C6BD4" w:rsidRPr="00D46593">
        <w:rPr>
          <w:rFonts w:ascii="Book Antiqua" w:eastAsia="Times New Roman" w:hAnsi="Book Antiqua" w:cs="Times New Roman"/>
          <w:szCs w:val="24"/>
        </w:rPr>
        <w:t xml:space="preserve"> Cabe enfatizarse que, al aprobarse la Ley Núm. 120-2018, se repitió que la misma presentaría un modelo innovador sostenible, con avanzada tecnología y resiliente ante los embates de la naturaleza; y se arguyó que los cambios propuestos beneficiarían al pueblo puertorriqueño y serían sensibles a todas las partes interesadas en la Autoridad, es decir: el consumidor, el empresario o pequeño comerciante y el ciudadano.</w:t>
      </w:r>
    </w:p>
    <w:p w14:paraId="0FBEA896" w14:textId="77777777" w:rsidR="005C6BD4" w:rsidRPr="00D46593" w:rsidRDefault="005C6BD4" w:rsidP="005C6BD4">
      <w:pPr>
        <w:overflowPunct w:val="0"/>
        <w:autoSpaceDE w:val="0"/>
        <w:autoSpaceDN w:val="0"/>
        <w:adjustRightInd w:val="0"/>
        <w:textAlignment w:val="baseline"/>
        <w:rPr>
          <w:rFonts w:ascii="Book Antiqua" w:eastAsia="Times New Roman" w:hAnsi="Book Antiqua" w:cs="Times New Roman"/>
          <w:szCs w:val="24"/>
        </w:rPr>
      </w:pPr>
    </w:p>
    <w:p w14:paraId="4205C16A" w14:textId="77777777" w:rsidR="00E359E9" w:rsidRPr="00D46593" w:rsidRDefault="005C6BD4" w:rsidP="00E359E9">
      <w:pPr>
        <w:overflowPunct w:val="0"/>
        <w:autoSpaceDE w:val="0"/>
        <w:autoSpaceDN w:val="0"/>
        <w:adjustRightInd w:val="0"/>
        <w:ind w:firstLine="708"/>
        <w:textAlignment w:val="baseline"/>
        <w:rPr>
          <w:rFonts w:ascii="Book Antiqua" w:eastAsia="Times New Roman" w:hAnsi="Book Antiqua" w:cs="Times New Roman"/>
          <w:szCs w:val="24"/>
        </w:rPr>
      </w:pPr>
      <w:r w:rsidRPr="00D46593">
        <w:rPr>
          <w:rFonts w:ascii="Book Antiqua" w:eastAsia="Times New Roman" w:hAnsi="Book Antiqua" w:cs="Times New Roman"/>
          <w:szCs w:val="24"/>
        </w:rPr>
        <w:t>Desde tal</w:t>
      </w:r>
      <w:r w:rsidR="00CB0868" w:rsidRPr="00D46593">
        <w:rPr>
          <w:rFonts w:ascii="Book Antiqua" w:eastAsia="Times New Roman" w:hAnsi="Book Antiqua" w:cs="Times New Roman"/>
          <w:szCs w:val="24"/>
        </w:rPr>
        <w:t xml:space="preserve"> marco legal, </w:t>
      </w:r>
      <w:r w:rsidRPr="00D46593">
        <w:rPr>
          <w:rFonts w:ascii="Book Antiqua" w:eastAsia="Times New Roman" w:hAnsi="Book Antiqua" w:cs="Times New Roman"/>
          <w:szCs w:val="24"/>
        </w:rPr>
        <w:t xml:space="preserve">el 17 de junio de 2020, </w:t>
      </w:r>
      <w:r w:rsidRPr="00D46593">
        <w:rPr>
          <w:rFonts w:ascii="Book Antiqua" w:eastAsia="Times New Roman" w:hAnsi="Book Antiqua" w:cs="Arial"/>
          <w:color w:val="222222"/>
          <w:szCs w:val="24"/>
        </w:rPr>
        <w:t xml:space="preserve">la administración de la entonces Gobernadora, </w:t>
      </w:r>
      <w:proofErr w:type="spellStart"/>
      <w:r w:rsidRPr="00D46593">
        <w:rPr>
          <w:rFonts w:ascii="Book Antiqua" w:eastAsia="Times New Roman" w:hAnsi="Book Antiqua" w:cs="Arial"/>
          <w:color w:val="222222"/>
          <w:szCs w:val="24"/>
        </w:rPr>
        <w:t>Hon</w:t>
      </w:r>
      <w:proofErr w:type="spellEnd"/>
      <w:r w:rsidRPr="00D46593">
        <w:rPr>
          <w:rFonts w:ascii="Book Antiqua" w:eastAsia="Times New Roman" w:hAnsi="Book Antiqua" w:cs="Arial"/>
          <w:color w:val="222222"/>
          <w:szCs w:val="24"/>
        </w:rPr>
        <w:t xml:space="preserve">. Wanda Vázquez </w:t>
      </w:r>
      <w:proofErr w:type="spellStart"/>
      <w:r w:rsidRPr="00D46593">
        <w:rPr>
          <w:rFonts w:ascii="Book Antiqua" w:eastAsia="Times New Roman" w:hAnsi="Book Antiqua" w:cs="Arial"/>
          <w:color w:val="222222"/>
          <w:szCs w:val="24"/>
        </w:rPr>
        <w:t>Garced</w:t>
      </w:r>
      <w:proofErr w:type="spellEnd"/>
      <w:r w:rsidRPr="00D46593">
        <w:rPr>
          <w:rFonts w:ascii="Book Antiqua" w:eastAsia="Times New Roman" w:hAnsi="Book Antiqua" w:cs="Arial"/>
          <w:i/>
          <w:color w:val="222222"/>
          <w:szCs w:val="24"/>
        </w:rPr>
        <w:t>,</w:t>
      </w:r>
      <w:r w:rsidRPr="00D46593">
        <w:rPr>
          <w:rFonts w:ascii="Book Antiqua" w:eastAsia="Times New Roman" w:hAnsi="Book Antiqua" w:cs="Arial"/>
          <w:color w:val="222222"/>
          <w:szCs w:val="24"/>
        </w:rPr>
        <w:t xml:space="preserve"> firmó la concesión del sistema de transmisión y distribución de la Autoridad de Energía Eléctrica a la empresa </w:t>
      </w:r>
      <w:r w:rsidRPr="00D46593">
        <w:rPr>
          <w:rFonts w:ascii="Book Antiqua" w:eastAsia="Times New Roman" w:hAnsi="Book Antiqua" w:cs="Arial"/>
          <w:i/>
          <w:color w:val="222222"/>
          <w:szCs w:val="24"/>
        </w:rPr>
        <w:t xml:space="preserve">LUMA Energy, LLC </w:t>
      </w:r>
      <w:r w:rsidRPr="00D46593">
        <w:rPr>
          <w:rFonts w:ascii="Book Antiqua" w:eastAsia="Times New Roman" w:hAnsi="Book Antiqua" w:cs="Arial"/>
          <w:iCs/>
          <w:color w:val="222222"/>
          <w:szCs w:val="24"/>
        </w:rPr>
        <w:t>y</w:t>
      </w:r>
      <w:r w:rsidRPr="00D46593">
        <w:rPr>
          <w:rFonts w:ascii="Book Antiqua" w:eastAsia="Times New Roman" w:hAnsi="Book Antiqua" w:cs="Arial"/>
          <w:i/>
          <w:color w:val="222222"/>
          <w:szCs w:val="24"/>
        </w:rPr>
        <w:t xml:space="preserve"> LUMA </w:t>
      </w:r>
      <w:proofErr w:type="spellStart"/>
      <w:r w:rsidRPr="00D46593">
        <w:rPr>
          <w:rFonts w:ascii="Book Antiqua" w:eastAsia="Times New Roman" w:hAnsi="Book Antiqua" w:cs="Arial"/>
          <w:i/>
          <w:color w:val="222222"/>
          <w:szCs w:val="24"/>
        </w:rPr>
        <w:t>Energy</w:t>
      </w:r>
      <w:proofErr w:type="spellEnd"/>
      <w:r w:rsidRPr="00D46593">
        <w:rPr>
          <w:rFonts w:ascii="Book Antiqua" w:eastAsia="Times New Roman" w:hAnsi="Book Antiqua" w:cs="Arial"/>
          <w:i/>
          <w:color w:val="222222"/>
          <w:szCs w:val="24"/>
        </w:rPr>
        <w:t xml:space="preserve"> </w:t>
      </w:r>
      <w:proofErr w:type="spellStart"/>
      <w:r w:rsidRPr="00D46593">
        <w:rPr>
          <w:rFonts w:ascii="Book Antiqua" w:eastAsia="Times New Roman" w:hAnsi="Book Antiqua" w:cs="Arial"/>
          <w:i/>
          <w:color w:val="222222"/>
          <w:szCs w:val="24"/>
        </w:rPr>
        <w:t>Servco</w:t>
      </w:r>
      <w:proofErr w:type="spellEnd"/>
      <w:r w:rsidRPr="00D46593">
        <w:rPr>
          <w:rFonts w:ascii="Book Antiqua" w:eastAsia="Times New Roman" w:hAnsi="Book Antiqua" w:cs="Arial"/>
          <w:i/>
          <w:color w:val="222222"/>
          <w:szCs w:val="24"/>
        </w:rPr>
        <w:t xml:space="preserve">, LLC, </w:t>
      </w:r>
      <w:r w:rsidRPr="00D46593">
        <w:rPr>
          <w:rFonts w:ascii="Book Antiqua" w:eastAsia="Times New Roman" w:hAnsi="Book Antiqua" w:cs="Arial"/>
          <w:color w:val="222222"/>
          <w:szCs w:val="24"/>
        </w:rPr>
        <w:t>con el lanzamiento de una campaña publicitaria del referido acuerdo titulada: “Lo mejor para Puerto Rico”.</w:t>
      </w:r>
      <w:r w:rsidR="00E359E9" w:rsidRPr="00D46593">
        <w:rPr>
          <w:rStyle w:val="FootnoteReference"/>
          <w:rFonts w:ascii="Book Antiqua" w:eastAsia="Times New Roman" w:hAnsi="Book Antiqua" w:cs="Arial"/>
          <w:color w:val="222222"/>
          <w:szCs w:val="24"/>
        </w:rPr>
        <w:footnoteReference w:id="1"/>
      </w:r>
    </w:p>
    <w:p w14:paraId="4B99B258" w14:textId="77777777" w:rsidR="00E359E9" w:rsidRPr="00D46593" w:rsidRDefault="00E359E9" w:rsidP="00E359E9">
      <w:pPr>
        <w:overflowPunct w:val="0"/>
        <w:autoSpaceDE w:val="0"/>
        <w:autoSpaceDN w:val="0"/>
        <w:adjustRightInd w:val="0"/>
        <w:ind w:firstLine="708"/>
        <w:textAlignment w:val="baseline"/>
        <w:rPr>
          <w:rFonts w:ascii="Book Antiqua" w:eastAsia="Times New Roman" w:hAnsi="Book Antiqua" w:cs="Times New Roman"/>
          <w:szCs w:val="24"/>
        </w:rPr>
      </w:pPr>
    </w:p>
    <w:p w14:paraId="0FA550E2" w14:textId="77777777" w:rsidR="000D383E" w:rsidRPr="00D46593" w:rsidRDefault="005C6BD4" w:rsidP="000D383E">
      <w:pPr>
        <w:overflowPunct w:val="0"/>
        <w:autoSpaceDE w:val="0"/>
        <w:autoSpaceDN w:val="0"/>
        <w:adjustRightInd w:val="0"/>
        <w:ind w:firstLine="708"/>
        <w:textAlignment w:val="baseline"/>
        <w:rPr>
          <w:rFonts w:ascii="Book Antiqua" w:eastAsia="Times New Roman" w:hAnsi="Book Antiqua" w:cs="Times New Roman"/>
          <w:szCs w:val="24"/>
        </w:rPr>
      </w:pPr>
      <w:r w:rsidRPr="00D46593">
        <w:rPr>
          <w:rFonts w:ascii="Book Antiqua" w:eastAsia="Times New Roman" w:hAnsi="Book Antiqua" w:cs="Times New Roman"/>
          <w:szCs w:val="24"/>
        </w:rPr>
        <w:t>A través del suscrito contrato de alianza público-privada, se anunció que, por un término de quince (15) años</w:t>
      </w:r>
      <w:r w:rsidRPr="00D46593">
        <w:rPr>
          <w:rFonts w:ascii="Book Antiqua" w:eastAsia="Times New Roman" w:hAnsi="Book Antiqua" w:cs="Arial"/>
          <w:i/>
          <w:color w:val="222222"/>
          <w:szCs w:val="24"/>
        </w:rPr>
        <w:t xml:space="preserve">, LUMA Energy, LLC </w:t>
      </w:r>
      <w:r w:rsidRPr="00D46593">
        <w:rPr>
          <w:rFonts w:ascii="Book Antiqua" w:eastAsia="Times New Roman" w:hAnsi="Book Antiqua" w:cs="Arial"/>
          <w:iCs/>
          <w:color w:val="222222"/>
          <w:szCs w:val="24"/>
        </w:rPr>
        <w:t>y</w:t>
      </w:r>
      <w:r w:rsidRPr="00D46593">
        <w:rPr>
          <w:rFonts w:ascii="Book Antiqua" w:eastAsia="Times New Roman" w:hAnsi="Book Antiqua" w:cs="Arial"/>
          <w:i/>
          <w:color w:val="222222"/>
          <w:szCs w:val="24"/>
        </w:rPr>
        <w:t xml:space="preserve"> LUMA </w:t>
      </w:r>
      <w:proofErr w:type="spellStart"/>
      <w:r w:rsidRPr="00D46593">
        <w:rPr>
          <w:rFonts w:ascii="Book Antiqua" w:eastAsia="Times New Roman" w:hAnsi="Book Antiqua" w:cs="Arial"/>
          <w:i/>
          <w:color w:val="222222"/>
          <w:szCs w:val="24"/>
        </w:rPr>
        <w:t>Energy</w:t>
      </w:r>
      <w:proofErr w:type="spellEnd"/>
      <w:r w:rsidRPr="00D46593">
        <w:rPr>
          <w:rFonts w:ascii="Book Antiqua" w:eastAsia="Times New Roman" w:hAnsi="Book Antiqua" w:cs="Arial"/>
          <w:i/>
          <w:color w:val="222222"/>
          <w:szCs w:val="24"/>
        </w:rPr>
        <w:t xml:space="preserve"> </w:t>
      </w:r>
      <w:proofErr w:type="spellStart"/>
      <w:r w:rsidRPr="00D46593">
        <w:rPr>
          <w:rFonts w:ascii="Book Antiqua" w:eastAsia="Times New Roman" w:hAnsi="Book Antiqua" w:cs="Arial"/>
          <w:i/>
          <w:color w:val="222222"/>
          <w:szCs w:val="24"/>
        </w:rPr>
        <w:t>Servco</w:t>
      </w:r>
      <w:proofErr w:type="spellEnd"/>
      <w:r w:rsidRPr="00D46593">
        <w:rPr>
          <w:rFonts w:ascii="Book Antiqua" w:eastAsia="Times New Roman" w:hAnsi="Book Antiqua" w:cs="Arial"/>
          <w:i/>
          <w:color w:val="222222"/>
          <w:szCs w:val="24"/>
        </w:rPr>
        <w:t>, LLC</w:t>
      </w:r>
      <w:r w:rsidRPr="00D46593">
        <w:rPr>
          <w:rFonts w:ascii="Book Antiqua" w:eastAsia="Times New Roman" w:hAnsi="Book Antiqua" w:cs="Times New Roman"/>
          <w:szCs w:val="24"/>
        </w:rPr>
        <w:t xml:space="preserve"> </w:t>
      </w:r>
      <w:r w:rsidR="00CB0868" w:rsidRPr="00D46593">
        <w:rPr>
          <w:rFonts w:ascii="Book Antiqua" w:eastAsia="Times New Roman" w:hAnsi="Book Antiqua" w:cs="Times New Roman"/>
          <w:szCs w:val="24"/>
        </w:rPr>
        <w:t xml:space="preserve">asumiría la operación, </w:t>
      </w:r>
      <w:r w:rsidRPr="00D46593">
        <w:rPr>
          <w:rFonts w:ascii="Book Antiqua" w:eastAsia="Times New Roman" w:hAnsi="Book Antiqua" w:cs="Times New Roman"/>
          <w:szCs w:val="24"/>
        </w:rPr>
        <w:t xml:space="preserve">administración, </w:t>
      </w:r>
      <w:r w:rsidR="00CB0868" w:rsidRPr="00D46593">
        <w:rPr>
          <w:rFonts w:ascii="Book Antiqua" w:eastAsia="Times New Roman" w:hAnsi="Book Antiqua" w:cs="Times New Roman"/>
          <w:szCs w:val="24"/>
        </w:rPr>
        <w:t>mantenimiento</w:t>
      </w:r>
      <w:r w:rsidRPr="00D46593">
        <w:rPr>
          <w:rFonts w:ascii="Book Antiqua" w:eastAsia="Times New Roman" w:hAnsi="Book Antiqua" w:cs="Times New Roman"/>
          <w:szCs w:val="24"/>
        </w:rPr>
        <w:t>, reparación, restauración,</w:t>
      </w:r>
      <w:r w:rsidR="00CB0868" w:rsidRPr="00D46593">
        <w:rPr>
          <w:rFonts w:ascii="Book Antiqua" w:eastAsia="Times New Roman" w:hAnsi="Book Antiqua" w:cs="Times New Roman"/>
          <w:szCs w:val="24"/>
        </w:rPr>
        <w:t xml:space="preserve"> y modernización del sistema de transmisión y distribución del servicio energético en el País. </w:t>
      </w:r>
      <w:r w:rsidR="00E359E9" w:rsidRPr="00D46593">
        <w:rPr>
          <w:rFonts w:ascii="Book Antiqua" w:eastAsia="Times New Roman" w:hAnsi="Book Antiqua" w:cs="Arial"/>
          <w:color w:val="222222"/>
          <w:szCs w:val="24"/>
        </w:rPr>
        <w:t xml:space="preserve">Amerita destacarse que la Asamblea Legislativa, eximió la transacción de </w:t>
      </w:r>
      <w:r w:rsidR="00E359E9" w:rsidRPr="00D46593">
        <w:rPr>
          <w:rFonts w:ascii="Book Antiqua" w:eastAsia="Times New Roman" w:hAnsi="Book Antiqua" w:cs="Arial"/>
          <w:i/>
          <w:color w:val="222222"/>
          <w:szCs w:val="24"/>
        </w:rPr>
        <w:t>LUMA Energy</w:t>
      </w:r>
      <w:r w:rsidR="00E359E9" w:rsidRPr="00D46593">
        <w:rPr>
          <w:rFonts w:ascii="Book Antiqua" w:eastAsia="Times New Roman" w:hAnsi="Book Antiqua" w:cs="Arial"/>
          <w:color w:val="222222"/>
          <w:szCs w:val="24"/>
        </w:rPr>
        <w:t xml:space="preserve">, mediante legislación, del cumplimiento con el Artículo 7 de la Ley Núm. 29-2009, el cual exigía la preparación de </w:t>
      </w:r>
      <w:r w:rsidR="00E359E9" w:rsidRPr="00D46593">
        <w:rPr>
          <w:rFonts w:ascii="Book Antiqua" w:eastAsia="Times New Roman" w:hAnsi="Book Antiqua" w:cs="Arial"/>
          <w:bCs/>
          <w:iCs/>
          <w:color w:val="222222"/>
          <w:szCs w:val="24"/>
        </w:rPr>
        <w:t xml:space="preserve">estudios y análisis específicos previos </w:t>
      </w:r>
      <w:r w:rsidR="00E359E9" w:rsidRPr="00D46593">
        <w:rPr>
          <w:rFonts w:ascii="Book Antiqua" w:eastAsia="Times New Roman" w:hAnsi="Book Antiqua" w:cs="Arial"/>
          <w:color w:val="222222"/>
          <w:szCs w:val="24"/>
        </w:rPr>
        <w:t>a la contratación pública de entes privados.</w:t>
      </w:r>
    </w:p>
    <w:p w14:paraId="6AEDCB3C" w14:textId="77777777" w:rsidR="000D383E" w:rsidRPr="00D46593" w:rsidRDefault="000D383E" w:rsidP="000D383E">
      <w:pPr>
        <w:overflowPunct w:val="0"/>
        <w:autoSpaceDE w:val="0"/>
        <w:autoSpaceDN w:val="0"/>
        <w:adjustRightInd w:val="0"/>
        <w:ind w:firstLine="708"/>
        <w:textAlignment w:val="baseline"/>
        <w:rPr>
          <w:rFonts w:ascii="Book Antiqua" w:eastAsia="Times New Roman" w:hAnsi="Book Antiqua" w:cs="Times New Roman"/>
          <w:szCs w:val="24"/>
        </w:rPr>
      </w:pPr>
    </w:p>
    <w:p w14:paraId="57A32BA5" w14:textId="4FA3E585" w:rsidR="00E359E9" w:rsidRPr="00D46593" w:rsidRDefault="00CB0868" w:rsidP="000D383E">
      <w:pPr>
        <w:overflowPunct w:val="0"/>
        <w:autoSpaceDE w:val="0"/>
        <w:autoSpaceDN w:val="0"/>
        <w:adjustRightInd w:val="0"/>
        <w:ind w:firstLine="708"/>
        <w:textAlignment w:val="baseline"/>
        <w:rPr>
          <w:rFonts w:ascii="Book Antiqua" w:eastAsia="Times New Roman" w:hAnsi="Book Antiqua" w:cs="Times New Roman"/>
          <w:szCs w:val="24"/>
        </w:rPr>
      </w:pPr>
      <w:r w:rsidRPr="00D46593">
        <w:rPr>
          <w:rFonts w:ascii="Book Antiqua" w:eastAsia="Times New Roman" w:hAnsi="Book Antiqua" w:cs="Times New Roman"/>
          <w:szCs w:val="24"/>
        </w:rPr>
        <w:t>E</w:t>
      </w:r>
      <w:r w:rsidR="00E359E9" w:rsidRPr="00D46593">
        <w:rPr>
          <w:rFonts w:ascii="Book Antiqua" w:eastAsia="Times New Roman" w:hAnsi="Book Antiqua" w:cs="Times New Roman"/>
          <w:szCs w:val="24"/>
        </w:rPr>
        <w:t>n particular, e</w:t>
      </w:r>
      <w:r w:rsidRPr="00D46593">
        <w:rPr>
          <w:rFonts w:ascii="Book Antiqua" w:eastAsia="Times New Roman" w:hAnsi="Book Antiqua" w:cs="Times New Roman"/>
          <w:szCs w:val="24"/>
        </w:rPr>
        <w:t>l contrato de Alianza Público</w:t>
      </w:r>
      <w:r w:rsidR="00E359E9" w:rsidRPr="00D46593">
        <w:rPr>
          <w:rFonts w:ascii="Book Antiqua" w:eastAsia="Times New Roman" w:hAnsi="Book Antiqua" w:cs="Times New Roman"/>
          <w:szCs w:val="24"/>
        </w:rPr>
        <w:t>-</w:t>
      </w:r>
      <w:r w:rsidRPr="00D46593">
        <w:rPr>
          <w:rFonts w:ascii="Book Antiqua" w:eastAsia="Times New Roman" w:hAnsi="Book Antiqua" w:cs="Times New Roman"/>
          <w:szCs w:val="24"/>
        </w:rPr>
        <w:t>Privada (APP) se firmó el 22 de junio del 2020 y fue suscrito por tres partes: la Autoridad de Alianzas Público Privadas (AAPP), la Autoridad de Energía Eléctrica</w:t>
      </w:r>
      <w:r w:rsidR="000D383E" w:rsidRPr="00D46593">
        <w:rPr>
          <w:rFonts w:ascii="Book Antiqua" w:eastAsia="Times New Roman" w:hAnsi="Book Antiqua" w:cs="Times New Roman"/>
          <w:szCs w:val="24"/>
        </w:rPr>
        <w:t xml:space="preserve">, </w:t>
      </w:r>
      <w:r w:rsidRPr="00D46593">
        <w:rPr>
          <w:rFonts w:ascii="Book Antiqua" w:eastAsia="Times New Roman" w:hAnsi="Book Antiqua" w:cs="Times New Roman"/>
          <w:szCs w:val="24"/>
        </w:rPr>
        <w:t xml:space="preserve">y el consorcio privado </w:t>
      </w:r>
      <w:r w:rsidR="00E359E9" w:rsidRPr="00D46593">
        <w:rPr>
          <w:rFonts w:ascii="Book Antiqua" w:eastAsia="Times New Roman" w:hAnsi="Book Antiqua" w:cs="Times New Roman"/>
          <w:szCs w:val="24"/>
        </w:rPr>
        <w:t xml:space="preserve">identificado </w:t>
      </w:r>
      <w:r w:rsidRPr="00D46593">
        <w:rPr>
          <w:rFonts w:ascii="Book Antiqua" w:eastAsia="Times New Roman" w:hAnsi="Book Antiqua" w:cs="Times New Roman"/>
          <w:szCs w:val="24"/>
        </w:rPr>
        <w:t xml:space="preserve">como </w:t>
      </w:r>
      <w:r w:rsidRPr="00D46593">
        <w:rPr>
          <w:rFonts w:ascii="Book Antiqua" w:eastAsia="Times New Roman" w:hAnsi="Book Antiqua" w:cs="Times New Roman"/>
          <w:i/>
          <w:iCs/>
          <w:szCs w:val="24"/>
        </w:rPr>
        <w:t>LUMA Energy, LLC</w:t>
      </w:r>
      <w:r w:rsidRPr="00D46593">
        <w:rPr>
          <w:rFonts w:ascii="Book Antiqua" w:eastAsia="Times New Roman" w:hAnsi="Book Antiqua" w:cs="Times New Roman"/>
          <w:szCs w:val="24"/>
        </w:rPr>
        <w:t xml:space="preserve">. </w:t>
      </w:r>
      <w:r w:rsidR="000D383E" w:rsidRPr="00D46593">
        <w:rPr>
          <w:rFonts w:ascii="Book Antiqua" w:eastAsia="Times New Roman" w:hAnsi="Book Antiqua" w:cs="Arial"/>
          <w:color w:val="222222"/>
          <w:szCs w:val="24"/>
        </w:rPr>
        <w:t xml:space="preserve">A pesar de que siempre se ha indicado que </w:t>
      </w:r>
      <w:r w:rsidR="000D383E" w:rsidRPr="00D46593">
        <w:rPr>
          <w:rFonts w:ascii="Book Antiqua" w:eastAsia="Times New Roman" w:hAnsi="Book Antiqua" w:cs="Arial"/>
          <w:i/>
          <w:iCs/>
          <w:color w:val="222222"/>
          <w:szCs w:val="24"/>
        </w:rPr>
        <w:t>LUMA</w:t>
      </w:r>
      <w:r w:rsidR="000D383E" w:rsidRPr="00D46593">
        <w:rPr>
          <w:rFonts w:ascii="Book Antiqua" w:eastAsia="Times New Roman" w:hAnsi="Book Antiqua" w:cs="Arial"/>
          <w:i/>
          <w:color w:val="222222"/>
          <w:szCs w:val="24"/>
        </w:rPr>
        <w:t xml:space="preserve"> Energy</w:t>
      </w:r>
      <w:r w:rsidR="000D383E" w:rsidRPr="00D46593">
        <w:rPr>
          <w:rFonts w:ascii="Book Antiqua" w:eastAsia="Times New Roman" w:hAnsi="Book Antiqua" w:cs="Arial"/>
          <w:color w:val="222222"/>
          <w:szCs w:val="24"/>
        </w:rPr>
        <w:t xml:space="preserve"> solo se encargaría de la transmisión y distribución de energía, también se estipuló en el contrato que la empresa se encargará de las operaciones del sistema, incluyendo el servicio al cliente y la facturación</w:t>
      </w:r>
      <w:r w:rsidR="000D383E" w:rsidRPr="00D46593">
        <w:rPr>
          <w:rFonts w:ascii="Book Antiqua" w:eastAsia="Times New Roman" w:hAnsi="Book Antiqua" w:cs="Arial"/>
          <w:i/>
          <w:color w:val="222222"/>
          <w:szCs w:val="24"/>
        </w:rPr>
        <w:t xml:space="preserve">. </w:t>
      </w:r>
      <w:r w:rsidR="000D383E" w:rsidRPr="00D46593">
        <w:rPr>
          <w:rFonts w:ascii="Book Antiqua" w:eastAsia="Times New Roman" w:hAnsi="Book Antiqua" w:cs="Arial"/>
          <w:color w:val="222222"/>
          <w:szCs w:val="24"/>
        </w:rPr>
        <w:t xml:space="preserve">Esto, a pesar de que la </w:t>
      </w:r>
      <w:r w:rsidR="000D383E" w:rsidRPr="00D46593">
        <w:rPr>
          <w:rFonts w:ascii="Book Antiqua" w:eastAsia="Times New Roman" w:hAnsi="Book Antiqua" w:cs="Times New Roman"/>
          <w:szCs w:val="24"/>
        </w:rPr>
        <w:t xml:space="preserve">Autoridad de Energía Eléctrica </w:t>
      </w:r>
      <w:r w:rsidR="000D383E" w:rsidRPr="00D46593">
        <w:rPr>
          <w:rFonts w:ascii="Book Antiqua" w:eastAsia="Times New Roman" w:hAnsi="Book Antiqua" w:cs="Arial"/>
          <w:color w:val="222222"/>
          <w:szCs w:val="24"/>
        </w:rPr>
        <w:t xml:space="preserve">retendrá la titularidad </w:t>
      </w:r>
      <w:r w:rsidR="000D383E" w:rsidRPr="00D46593">
        <w:rPr>
          <w:rFonts w:ascii="Book Antiqua" w:eastAsia="Times New Roman" w:hAnsi="Book Antiqua" w:cs="Arial"/>
          <w:color w:val="222222"/>
          <w:szCs w:val="24"/>
        </w:rPr>
        <w:lastRenderedPageBreak/>
        <w:t>de los activos del sistema de transmisión y distribución y que también continuará al mando del sistema de generación eléctrica.</w:t>
      </w:r>
    </w:p>
    <w:p w14:paraId="5C5E656D" w14:textId="77777777" w:rsidR="000D383E" w:rsidRPr="00D46593" w:rsidRDefault="000D383E" w:rsidP="000D383E">
      <w:pPr>
        <w:overflowPunct w:val="0"/>
        <w:autoSpaceDE w:val="0"/>
        <w:autoSpaceDN w:val="0"/>
        <w:adjustRightInd w:val="0"/>
        <w:ind w:firstLine="708"/>
        <w:textAlignment w:val="baseline"/>
        <w:rPr>
          <w:rFonts w:ascii="Book Antiqua" w:eastAsia="Times New Roman" w:hAnsi="Book Antiqua" w:cs="Times New Roman"/>
          <w:szCs w:val="24"/>
        </w:rPr>
      </w:pPr>
    </w:p>
    <w:p w14:paraId="55861797" w14:textId="1FD7D809" w:rsidR="00CB0868" w:rsidRPr="00D46593" w:rsidRDefault="00CB0868" w:rsidP="000D383E">
      <w:pPr>
        <w:overflowPunct w:val="0"/>
        <w:autoSpaceDE w:val="0"/>
        <w:autoSpaceDN w:val="0"/>
        <w:adjustRightInd w:val="0"/>
        <w:ind w:firstLine="708"/>
        <w:textAlignment w:val="baseline"/>
        <w:rPr>
          <w:rFonts w:ascii="Book Antiqua" w:eastAsia="Times New Roman" w:hAnsi="Book Antiqua" w:cs="Times New Roman"/>
          <w:szCs w:val="24"/>
          <w:highlight w:val="yellow"/>
        </w:rPr>
      </w:pPr>
      <w:r w:rsidRPr="00D46593">
        <w:rPr>
          <w:rFonts w:ascii="Book Antiqua" w:eastAsia="Times New Roman" w:hAnsi="Book Antiqua" w:cs="Times New Roman"/>
          <w:szCs w:val="24"/>
        </w:rPr>
        <w:t>La segunda fase de</w:t>
      </w:r>
      <w:r w:rsidR="00E359E9" w:rsidRPr="00D46593">
        <w:rPr>
          <w:rFonts w:ascii="Book Antiqua" w:eastAsia="Times New Roman" w:hAnsi="Book Antiqua" w:cs="Times New Roman"/>
          <w:szCs w:val="24"/>
        </w:rPr>
        <w:t xml:space="preserve">l contrato otorgado a </w:t>
      </w:r>
      <w:r w:rsidR="00E359E9" w:rsidRPr="00D46593">
        <w:rPr>
          <w:rFonts w:ascii="Book Antiqua" w:eastAsia="Times New Roman" w:hAnsi="Book Antiqua" w:cs="Arial"/>
          <w:i/>
          <w:color w:val="222222"/>
          <w:szCs w:val="24"/>
        </w:rPr>
        <w:t xml:space="preserve">LUMA Energy, LLC </w:t>
      </w:r>
      <w:r w:rsidRPr="00D46593">
        <w:rPr>
          <w:rFonts w:ascii="Book Antiqua" w:eastAsia="Times New Roman" w:hAnsi="Book Antiqua" w:cs="Times New Roman"/>
          <w:szCs w:val="24"/>
        </w:rPr>
        <w:t>entr</w:t>
      </w:r>
      <w:r w:rsidR="00E359E9" w:rsidRPr="00D46593">
        <w:rPr>
          <w:rFonts w:ascii="Book Antiqua" w:eastAsia="Times New Roman" w:hAnsi="Book Antiqua" w:cs="Times New Roman"/>
          <w:szCs w:val="24"/>
        </w:rPr>
        <w:t xml:space="preserve">ó </w:t>
      </w:r>
      <w:r w:rsidRPr="00D46593">
        <w:rPr>
          <w:rFonts w:ascii="Book Antiqua" w:eastAsia="Times New Roman" w:hAnsi="Book Antiqua" w:cs="Times New Roman"/>
          <w:szCs w:val="24"/>
        </w:rPr>
        <w:t>en vigor el 1 de junio de 2021</w:t>
      </w:r>
      <w:r w:rsidR="00E359E9" w:rsidRPr="00D46593">
        <w:rPr>
          <w:rFonts w:ascii="Book Antiqua" w:eastAsia="Times New Roman" w:hAnsi="Book Antiqua" w:cs="Times New Roman"/>
          <w:szCs w:val="24"/>
        </w:rPr>
        <w:t xml:space="preserve">, y </w:t>
      </w:r>
      <w:r w:rsidRPr="00D46593">
        <w:rPr>
          <w:rFonts w:ascii="Book Antiqua" w:eastAsia="Times New Roman" w:hAnsi="Book Antiqua" w:cs="Times New Roman"/>
          <w:szCs w:val="24"/>
        </w:rPr>
        <w:t>consist</w:t>
      </w:r>
      <w:r w:rsidR="00E359E9" w:rsidRPr="00D46593">
        <w:rPr>
          <w:rFonts w:ascii="Book Antiqua" w:eastAsia="Times New Roman" w:hAnsi="Book Antiqua" w:cs="Times New Roman"/>
          <w:szCs w:val="24"/>
        </w:rPr>
        <w:t>ió</w:t>
      </w:r>
      <w:r w:rsidRPr="00D46593">
        <w:rPr>
          <w:rFonts w:ascii="Book Antiqua" w:eastAsia="Times New Roman" w:hAnsi="Book Antiqua" w:cs="Times New Roman"/>
          <w:szCs w:val="24"/>
        </w:rPr>
        <w:t xml:space="preserve"> en el traspaso de las operaciones comprendidas </w:t>
      </w:r>
      <w:r w:rsidR="00E359E9" w:rsidRPr="00D46593">
        <w:rPr>
          <w:rFonts w:ascii="Book Antiqua" w:eastAsia="Times New Roman" w:hAnsi="Book Antiqua" w:cs="Times New Roman"/>
          <w:szCs w:val="24"/>
        </w:rPr>
        <w:t xml:space="preserve">en </w:t>
      </w:r>
      <w:r w:rsidRPr="00D46593">
        <w:rPr>
          <w:rFonts w:ascii="Book Antiqua" w:eastAsia="Times New Roman" w:hAnsi="Book Antiqua" w:cs="Times New Roman"/>
          <w:szCs w:val="24"/>
        </w:rPr>
        <w:t>el contrato.</w:t>
      </w:r>
      <w:r w:rsidR="000D383E" w:rsidRPr="00D46593">
        <w:rPr>
          <w:rFonts w:ascii="Book Antiqua" w:eastAsia="Times New Roman" w:hAnsi="Book Antiqua" w:cs="Times New Roman"/>
          <w:szCs w:val="24"/>
        </w:rPr>
        <w:t xml:space="preserve"> </w:t>
      </w:r>
      <w:r w:rsidR="00E359E9" w:rsidRPr="00D46593">
        <w:rPr>
          <w:rFonts w:ascii="Book Antiqua" w:eastAsia="Times New Roman" w:hAnsi="Book Antiqua" w:cs="Arial"/>
          <w:color w:val="222222"/>
          <w:szCs w:val="24"/>
        </w:rPr>
        <w:t>En términos generales,</w:t>
      </w:r>
      <w:r w:rsidRPr="00D46593">
        <w:rPr>
          <w:rFonts w:ascii="Book Antiqua" w:eastAsia="Times New Roman" w:hAnsi="Book Antiqua" w:cs="Arial"/>
          <w:color w:val="222222"/>
          <w:szCs w:val="24"/>
        </w:rPr>
        <w:t xml:space="preserve"> </w:t>
      </w:r>
      <w:r w:rsidRPr="00D46593">
        <w:rPr>
          <w:rFonts w:ascii="Book Antiqua" w:eastAsia="Times New Roman" w:hAnsi="Book Antiqua" w:cs="Arial"/>
          <w:i/>
          <w:color w:val="222222"/>
          <w:szCs w:val="24"/>
        </w:rPr>
        <w:t>LUMA Energy</w:t>
      </w:r>
      <w:r w:rsidRPr="00D46593">
        <w:rPr>
          <w:rFonts w:ascii="Book Antiqua" w:eastAsia="Times New Roman" w:hAnsi="Book Antiqua" w:cs="Arial"/>
          <w:color w:val="222222"/>
          <w:szCs w:val="24"/>
        </w:rPr>
        <w:t xml:space="preserve"> recibirá una cuota de mantenimiento y otra de incentivos para proporcionar mejoras a los abonados de la corporación. Del mismo modo, la empresa trabajará directamente con FEMA y el Departamento de la Vivienda Federal (HUD, por sus siglas en inglés) para agenciar las ayudas federales asignadas a los sistemas de generación de energía.</w:t>
      </w:r>
    </w:p>
    <w:p w14:paraId="5C5E9BE7" w14:textId="77777777" w:rsidR="00E359E9" w:rsidRPr="00D46593" w:rsidRDefault="00E359E9" w:rsidP="00CB0868">
      <w:pPr>
        <w:ind w:firstLine="720"/>
        <w:rPr>
          <w:rFonts w:ascii="Book Antiqua" w:eastAsia="Times New Roman" w:hAnsi="Book Antiqua" w:cs="Arial"/>
          <w:color w:val="222222"/>
          <w:szCs w:val="24"/>
        </w:rPr>
      </w:pPr>
    </w:p>
    <w:p w14:paraId="6237CE1D" w14:textId="77777777" w:rsidR="000D383E" w:rsidRPr="00D46593" w:rsidRDefault="00CB0868" w:rsidP="000D383E">
      <w:pPr>
        <w:ind w:firstLine="720"/>
        <w:rPr>
          <w:rFonts w:ascii="Book Antiqua" w:eastAsia="Times New Roman" w:hAnsi="Book Antiqua" w:cs="Arial"/>
          <w:color w:val="222222"/>
          <w:szCs w:val="24"/>
        </w:rPr>
      </w:pPr>
      <w:r w:rsidRPr="00D46593">
        <w:rPr>
          <w:rFonts w:ascii="Book Antiqua" w:eastAsia="Times New Roman" w:hAnsi="Book Antiqua" w:cs="Arial"/>
          <w:color w:val="222222"/>
          <w:szCs w:val="24"/>
        </w:rPr>
        <w:t>Tras completarse la transición</w:t>
      </w:r>
      <w:r w:rsidR="000D383E" w:rsidRPr="00D46593">
        <w:rPr>
          <w:rFonts w:ascii="Book Antiqua" w:eastAsia="Times New Roman" w:hAnsi="Book Antiqua" w:cs="Arial"/>
          <w:color w:val="222222"/>
          <w:szCs w:val="24"/>
        </w:rPr>
        <w:t xml:space="preserve"> o traspaso</w:t>
      </w:r>
      <w:r w:rsidRPr="00D46593">
        <w:rPr>
          <w:rFonts w:ascii="Book Antiqua" w:eastAsia="Times New Roman" w:hAnsi="Book Antiqua" w:cs="Arial"/>
          <w:color w:val="222222"/>
          <w:szCs w:val="24"/>
        </w:rPr>
        <w:t xml:space="preserve">, la </w:t>
      </w:r>
      <w:r w:rsidR="000D383E" w:rsidRPr="00D46593">
        <w:rPr>
          <w:rFonts w:ascii="Book Antiqua" w:eastAsia="Times New Roman" w:hAnsi="Book Antiqua" w:cs="Times New Roman"/>
          <w:szCs w:val="24"/>
        </w:rPr>
        <w:t>Autoridad de Energía Eléctrica</w:t>
      </w:r>
      <w:r w:rsidRPr="00D46593">
        <w:rPr>
          <w:rFonts w:ascii="Book Antiqua" w:eastAsia="Times New Roman" w:hAnsi="Book Antiqua" w:cs="Arial"/>
          <w:color w:val="222222"/>
          <w:szCs w:val="24"/>
        </w:rPr>
        <w:t xml:space="preserve"> deberá pagar a LUMA una compensación anual que comenzará en $70 millones. Luego, para el segundo y tercer año, el monto se elevaría a $90 millones y $100 millones respectivamente. Además, se establece que a partir del cuarto año y por el resto de la vigencia del contrato, el pago ascenderá a $105 millones. En adición, de cumplir con unos objetivos de eficiencia y mejoramiento del servicio que están estipulados en el contrato, LUMA recibiría $20 millones en bonificaciones adicionales a la compensación anual, para un pago máximo de $125 millones. Asimismo, LUMA tendría acceso a los $10.7 billones en fondos federales que FEMA asignó para la reconstrucción del sistema de energía.  Igualmente, la </w:t>
      </w:r>
      <w:r w:rsidR="000D383E" w:rsidRPr="00D46593">
        <w:rPr>
          <w:rFonts w:ascii="Book Antiqua" w:eastAsia="Times New Roman" w:hAnsi="Book Antiqua" w:cs="Times New Roman"/>
          <w:szCs w:val="24"/>
        </w:rPr>
        <w:t>Autoridad de Energía Eléctrica</w:t>
      </w:r>
      <w:r w:rsidRPr="00D46593">
        <w:rPr>
          <w:rFonts w:ascii="Book Antiqua" w:eastAsia="Times New Roman" w:hAnsi="Book Antiqua" w:cs="Arial"/>
          <w:color w:val="222222"/>
          <w:szCs w:val="24"/>
        </w:rPr>
        <w:t xml:space="preserve"> </w:t>
      </w:r>
      <w:r w:rsidR="00E359E9" w:rsidRPr="00D46593">
        <w:rPr>
          <w:rFonts w:ascii="Book Antiqua" w:eastAsia="Times New Roman" w:hAnsi="Book Antiqua" w:cs="Arial"/>
          <w:color w:val="222222"/>
          <w:szCs w:val="24"/>
        </w:rPr>
        <w:t xml:space="preserve">se mantendría asumiendo </w:t>
      </w:r>
      <w:r w:rsidRPr="00D46593">
        <w:rPr>
          <w:rFonts w:ascii="Book Antiqua" w:eastAsia="Times New Roman" w:hAnsi="Book Antiqua" w:cs="Arial"/>
          <w:color w:val="222222"/>
          <w:szCs w:val="24"/>
        </w:rPr>
        <w:t>otros gastos incurridos.</w:t>
      </w:r>
    </w:p>
    <w:p w14:paraId="010ED827" w14:textId="77777777" w:rsidR="000D383E" w:rsidRPr="00D46593" w:rsidRDefault="000D383E" w:rsidP="000D383E">
      <w:pPr>
        <w:ind w:firstLine="720"/>
        <w:rPr>
          <w:rFonts w:ascii="Book Antiqua" w:eastAsia="Times New Roman" w:hAnsi="Book Antiqua" w:cs="Arial"/>
          <w:color w:val="222222"/>
          <w:szCs w:val="24"/>
        </w:rPr>
      </w:pPr>
    </w:p>
    <w:p w14:paraId="3867233C" w14:textId="6C9354D5" w:rsidR="000D383E" w:rsidRPr="00D46593" w:rsidRDefault="000D383E" w:rsidP="000D383E">
      <w:pPr>
        <w:ind w:firstLine="720"/>
        <w:rPr>
          <w:rFonts w:ascii="Book Antiqua" w:eastAsia="Times New Roman" w:hAnsi="Book Antiqua" w:cs="Times New Roman"/>
          <w:szCs w:val="20"/>
        </w:rPr>
      </w:pPr>
      <w:r w:rsidRPr="00D46593">
        <w:rPr>
          <w:rFonts w:ascii="Book Antiqua" w:eastAsia="Times New Roman" w:hAnsi="Book Antiqua" w:cs="Times New Roman"/>
          <w:szCs w:val="20"/>
        </w:rPr>
        <w:t xml:space="preserve">Resulta evidente que, desde que asumió las riendas como responsable de los servicios de transmisión y distribución de energía eléctrica en Puerto Rico, el desempeño de </w:t>
      </w:r>
      <w:r w:rsidRPr="00D46593">
        <w:rPr>
          <w:rFonts w:ascii="Book Antiqua" w:eastAsia="Times New Roman" w:hAnsi="Book Antiqua" w:cs="Times New Roman"/>
          <w:i/>
          <w:iCs/>
          <w:szCs w:val="20"/>
        </w:rPr>
        <w:t>LUMA Energy, LLC</w:t>
      </w:r>
      <w:r w:rsidRPr="00D46593">
        <w:rPr>
          <w:rFonts w:ascii="Book Antiqua" w:eastAsia="Times New Roman" w:hAnsi="Book Antiqua" w:cs="Times New Roman"/>
          <w:szCs w:val="20"/>
        </w:rPr>
        <w:t xml:space="preserve"> ha sido un constante registro de averías, falta de información y transparencia, cuestionables decisiones administrativas, y serias deficiencias operacionales. </w:t>
      </w:r>
    </w:p>
    <w:p w14:paraId="6B2A5FEB" w14:textId="77777777" w:rsidR="001C3479" w:rsidRPr="00D46593" w:rsidRDefault="001C3479" w:rsidP="000D383E">
      <w:pPr>
        <w:ind w:firstLine="720"/>
        <w:rPr>
          <w:rFonts w:ascii="Book Antiqua" w:eastAsia="Times New Roman" w:hAnsi="Book Antiqua" w:cs="Arial"/>
          <w:color w:val="222222"/>
          <w:szCs w:val="24"/>
        </w:rPr>
      </w:pPr>
    </w:p>
    <w:p w14:paraId="3E7E6D96" w14:textId="77777777" w:rsidR="001C3479" w:rsidRPr="00D46593" w:rsidRDefault="000D383E" w:rsidP="001C3479">
      <w:pPr>
        <w:ind w:firstLine="720"/>
        <w:rPr>
          <w:rFonts w:ascii="Book Antiqua" w:eastAsia="Times New Roman" w:hAnsi="Book Antiqua" w:cs="Times New Roman"/>
          <w:color w:val="000000" w:themeColor="text1"/>
          <w:szCs w:val="20"/>
        </w:rPr>
      </w:pPr>
      <w:r w:rsidRPr="00D46593">
        <w:rPr>
          <w:rFonts w:ascii="Book Antiqua" w:eastAsia="Times New Roman" w:hAnsi="Book Antiqua" w:cs="Arial"/>
          <w:color w:val="222222"/>
          <w:szCs w:val="24"/>
        </w:rPr>
        <w:t xml:space="preserve">Tanto la percepción pública como los estudios especializados han enfatizado la naturaleza </w:t>
      </w:r>
      <w:r w:rsidRPr="00D46593">
        <w:rPr>
          <w:rFonts w:ascii="Book Antiqua" w:eastAsia="Times New Roman" w:hAnsi="Book Antiqua" w:cs="Arial"/>
          <w:i/>
          <w:iCs/>
          <w:color w:val="222222"/>
          <w:szCs w:val="24"/>
        </w:rPr>
        <w:t>in crescendo</w:t>
      </w:r>
      <w:r w:rsidRPr="00D46593">
        <w:rPr>
          <w:rFonts w:ascii="Book Antiqua" w:eastAsia="Times New Roman" w:hAnsi="Book Antiqua" w:cs="Arial"/>
          <w:color w:val="222222"/>
          <w:szCs w:val="24"/>
        </w:rPr>
        <w:t xml:space="preserve"> de la insostenible crisis energética que atraviesa el País. La</w:t>
      </w:r>
      <w:r w:rsidRPr="00D46593">
        <w:rPr>
          <w:rFonts w:ascii="Book Antiqua" w:hAnsi="Book Antiqua"/>
          <w:color w:val="000000" w:themeColor="text1"/>
        </w:rPr>
        <w:t xml:space="preserve"> falta de provisión constante de servicio de energía eléctrica, la recurrencia de fluctuaciones de voltaje</w:t>
      </w:r>
      <w:r w:rsidR="001C3479" w:rsidRPr="00D46593">
        <w:rPr>
          <w:rFonts w:ascii="Book Antiqua" w:hAnsi="Book Antiqua"/>
          <w:color w:val="000000" w:themeColor="text1"/>
        </w:rPr>
        <w:t xml:space="preserve"> y los inesperados, pero reiterados, apagones</w:t>
      </w:r>
      <w:r w:rsidRPr="00D46593">
        <w:rPr>
          <w:rFonts w:ascii="Book Antiqua" w:hAnsi="Book Antiqua"/>
          <w:color w:val="000000" w:themeColor="text1"/>
        </w:rPr>
        <w:t xml:space="preserve"> supone</w:t>
      </w:r>
      <w:r w:rsidR="001C3479" w:rsidRPr="00D46593">
        <w:rPr>
          <w:rFonts w:ascii="Book Antiqua" w:hAnsi="Book Antiqua"/>
          <w:color w:val="000000" w:themeColor="text1"/>
        </w:rPr>
        <w:t>n</w:t>
      </w:r>
      <w:r w:rsidRPr="00D46593">
        <w:rPr>
          <w:rFonts w:ascii="Book Antiqua" w:hAnsi="Book Antiqua"/>
          <w:color w:val="000000" w:themeColor="text1"/>
        </w:rPr>
        <w:t xml:space="preserve"> un reto diario a la salud y calidad de vida de </w:t>
      </w:r>
      <w:r w:rsidR="001C3479" w:rsidRPr="00D46593">
        <w:rPr>
          <w:rFonts w:ascii="Book Antiqua" w:hAnsi="Book Antiqua"/>
          <w:color w:val="000000" w:themeColor="text1"/>
        </w:rPr>
        <w:t>millones de puertorriqueños</w:t>
      </w:r>
      <w:r w:rsidRPr="00D46593">
        <w:rPr>
          <w:rFonts w:ascii="Book Antiqua" w:hAnsi="Book Antiqua"/>
          <w:color w:val="000000" w:themeColor="text1"/>
        </w:rPr>
        <w:t xml:space="preserve">. En particular, las </w:t>
      </w:r>
      <w:r w:rsidRPr="00D46593">
        <w:rPr>
          <w:rFonts w:ascii="Book Antiqua" w:eastAsia="Times New Roman" w:hAnsi="Book Antiqua" w:cs="Times New Roman"/>
          <w:iCs/>
          <w:color w:val="000000" w:themeColor="text1"/>
          <w:szCs w:val="20"/>
        </w:rPr>
        <w:t>deficiencias en el servicio</w:t>
      </w:r>
      <w:r w:rsidR="001C3479" w:rsidRPr="00D46593">
        <w:rPr>
          <w:rFonts w:ascii="Book Antiqua" w:eastAsia="Times New Roman" w:hAnsi="Book Antiqua" w:cs="Times New Roman"/>
          <w:iCs/>
          <w:color w:val="000000" w:themeColor="text1"/>
          <w:szCs w:val="20"/>
        </w:rPr>
        <w:t xml:space="preserve"> de energía eléctrica</w:t>
      </w:r>
      <w:r w:rsidRPr="00D46593">
        <w:rPr>
          <w:rFonts w:ascii="Book Antiqua" w:eastAsia="Times New Roman" w:hAnsi="Book Antiqua" w:cs="Times New Roman"/>
          <w:iCs/>
          <w:color w:val="000000" w:themeColor="text1"/>
          <w:szCs w:val="20"/>
        </w:rPr>
        <w:t xml:space="preserve"> ocasionan </w:t>
      </w:r>
      <w:r w:rsidRPr="00D46593">
        <w:rPr>
          <w:rFonts w:ascii="Book Antiqua" w:eastAsia="Times New Roman" w:hAnsi="Book Antiqua" w:cs="Times New Roman"/>
          <w:color w:val="000000" w:themeColor="text1"/>
          <w:szCs w:val="20"/>
        </w:rPr>
        <w:t xml:space="preserve">serios problemas salubristas para nuestras familias más vulnerables, compuestas por menores de edad, personas encamadas, </w:t>
      </w:r>
      <w:r w:rsidR="001C3479" w:rsidRPr="00D46593">
        <w:rPr>
          <w:rFonts w:ascii="Book Antiqua" w:eastAsia="Times New Roman" w:hAnsi="Book Antiqua" w:cs="Times New Roman"/>
          <w:color w:val="000000" w:themeColor="text1"/>
          <w:szCs w:val="20"/>
        </w:rPr>
        <w:t xml:space="preserve">personas que dependen de equipo especializado de asistencia a la vida,  </w:t>
      </w:r>
      <w:r w:rsidRPr="00D46593">
        <w:rPr>
          <w:rFonts w:ascii="Book Antiqua" w:eastAsia="Times New Roman" w:hAnsi="Book Antiqua" w:cs="Times New Roman"/>
          <w:color w:val="000000" w:themeColor="text1"/>
          <w:szCs w:val="20"/>
        </w:rPr>
        <w:t>personas con discapacidad y ciudadanos de la tercera edad,</w:t>
      </w:r>
      <w:r w:rsidR="001C3479" w:rsidRPr="00D46593">
        <w:rPr>
          <w:rFonts w:ascii="Book Antiqua" w:eastAsia="Times New Roman" w:hAnsi="Book Antiqua" w:cs="Times New Roman"/>
          <w:color w:val="000000" w:themeColor="text1"/>
          <w:szCs w:val="20"/>
        </w:rPr>
        <w:t xml:space="preserve"> </w:t>
      </w:r>
      <w:r w:rsidRPr="00D46593">
        <w:rPr>
          <w:rFonts w:ascii="Book Antiqua" w:eastAsia="Times New Roman" w:hAnsi="Book Antiqua" w:cs="Times New Roman"/>
          <w:color w:val="000000" w:themeColor="text1"/>
          <w:szCs w:val="20"/>
        </w:rPr>
        <w:t>así como significativas pérdidas monetarias al tener que incurrir en gastos extraordinarios para poder atender las necesidades</w:t>
      </w:r>
      <w:r w:rsidR="001C3479" w:rsidRPr="00D46593">
        <w:rPr>
          <w:rFonts w:ascii="Book Antiqua" w:eastAsia="Times New Roman" w:hAnsi="Book Antiqua" w:cs="Times New Roman"/>
          <w:color w:val="000000" w:themeColor="text1"/>
          <w:szCs w:val="20"/>
        </w:rPr>
        <w:t xml:space="preserve"> de supervivencia</w:t>
      </w:r>
      <w:r w:rsidRPr="00D46593">
        <w:rPr>
          <w:rFonts w:ascii="Book Antiqua" w:eastAsia="Times New Roman" w:hAnsi="Book Antiqua" w:cs="Times New Roman"/>
          <w:color w:val="000000" w:themeColor="text1"/>
          <w:szCs w:val="20"/>
        </w:rPr>
        <w:t xml:space="preserve"> que requiere</w:t>
      </w:r>
      <w:r w:rsidR="001C3479" w:rsidRPr="00D46593">
        <w:rPr>
          <w:rFonts w:ascii="Book Antiqua" w:eastAsia="Times New Roman" w:hAnsi="Book Antiqua" w:cs="Times New Roman"/>
          <w:color w:val="000000" w:themeColor="text1"/>
          <w:szCs w:val="20"/>
        </w:rPr>
        <w:t xml:space="preserve">n </w:t>
      </w:r>
      <w:r w:rsidRPr="00D46593">
        <w:rPr>
          <w:rFonts w:ascii="Book Antiqua" w:eastAsia="Times New Roman" w:hAnsi="Book Antiqua" w:cs="Times New Roman"/>
          <w:color w:val="000000" w:themeColor="text1"/>
          <w:szCs w:val="20"/>
        </w:rPr>
        <w:t>en sus hogares. Las constantes interrupciones en el servicio afectan también a nuestros comerciantes</w:t>
      </w:r>
      <w:r w:rsidR="001C3479" w:rsidRPr="00D46593">
        <w:rPr>
          <w:rFonts w:ascii="Book Antiqua" w:eastAsia="Times New Roman" w:hAnsi="Book Antiqua" w:cs="Times New Roman"/>
          <w:color w:val="000000" w:themeColor="text1"/>
          <w:szCs w:val="20"/>
        </w:rPr>
        <w:t xml:space="preserve"> e industrias</w:t>
      </w:r>
      <w:r w:rsidRPr="00D46593">
        <w:rPr>
          <w:rFonts w:ascii="Book Antiqua" w:eastAsia="Times New Roman" w:hAnsi="Book Antiqua" w:cs="Times New Roman"/>
          <w:color w:val="000000" w:themeColor="text1"/>
          <w:szCs w:val="20"/>
        </w:rPr>
        <w:t xml:space="preserve"> que, en muchas ocasiones, tienen que detener sus operaciones o cerrar sus negocios porque no cuentan con el servicio de </w:t>
      </w:r>
      <w:r w:rsidR="001C3479" w:rsidRPr="00D46593">
        <w:rPr>
          <w:rFonts w:ascii="Book Antiqua" w:eastAsia="Times New Roman" w:hAnsi="Book Antiqua" w:cs="Times New Roman"/>
          <w:color w:val="000000" w:themeColor="text1"/>
          <w:szCs w:val="20"/>
        </w:rPr>
        <w:lastRenderedPageBreak/>
        <w:t>energía eléctrica, o la inestabilidad del mismo averió algún equipo esencial a sus funciones.</w:t>
      </w:r>
    </w:p>
    <w:p w14:paraId="6EADF85C" w14:textId="77777777" w:rsidR="001C3479" w:rsidRPr="00D46593" w:rsidRDefault="001C3479" w:rsidP="001C3479">
      <w:pPr>
        <w:ind w:firstLine="720"/>
        <w:rPr>
          <w:rFonts w:ascii="Book Antiqua" w:eastAsia="Times New Roman" w:hAnsi="Book Antiqua" w:cs="Times New Roman"/>
          <w:color w:val="000000" w:themeColor="text1"/>
          <w:szCs w:val="20"/>
        </w:rPr>
      </w:pPr>
    </w:p>
    <w:p w14:paraId="16E5630E" w14:textId="14E305E6" w:rsidR="009A2960" w:rsidRPr="00D46593" w:rsidRDefault="001C3479" w:rsidP="009A2960">
      <w:pPr>
        <w:ind w:firstLine="720"/>
        <w:rPr>
          <w:rFonts w:ascii="Book Antiqua" w:eastAsia="Times New Roman" w:hAnsi="Book Antiqua" w:cs="Times New Roman"/>
          <w:szCs w:val="20"/>
          <w:lang w:eastAsia="x-none"/>
        </w:rPr>
      </w:pPr>
      <w:r w:rsidRPr="00D46593">
        <w:rPr>
          <w:rFonts w:ascii="Book Antiqua" w:eastAsia="Times New Roman" w:hAnsi="Book Antiqua" w:cs="Times New Roman"/>
          <w:color w:val="000000" w:themeColor="text1"/>
          <w:szCs w:val="20"/>
        </w:rPr>
        <w:t xml:space="preserve">Una consecuencia adversa, evidente, y constante de los episodios de bajo voltaje, fluctuación de voltaje y apagones de energías ocasionados por las deficiencias administrativas de </w:t>
      </w:r>
      <w:r w:rsidRPr="00D46593">
        <w:rPr>
          <w:rFonts w:ascii="Book Antiqua" w:eastAsia="Times New Roman" w:hAnsi="Book Antiqua" w:cs="Times New Roman"/>
          <w:i/>
          <w:iCs/>
          <w:szCs w:val="20"/>
        </w:rPr>
        <w:t xml:space="preserve">LUMA Energy, LLC </w:t>
      </w:r>
      <w:r w:rsidRPr="00D46593">
        <w:rPr>
          <w:rFonts w:ascii="Book Antiqua" w:eastAsia="Times New Roman" w:hAnsi="Book Antiqua" w:cs="Times New Roman"/>
          <w:szCs w:val="20"/>
        </w:rPr>
        <w:t xml:space="preserve">es </w:t>
      </w:r>
      <w:r w:rsidR="00A25A1E" w:rsidRPr="00D46593">
        <w:rPr>
          <w:rFonts w:ascii="Book Antiqua" w:eastAsia="Times New Roman" w:hAnsi="Book Antiqua" w:cs="Times New Roman"/>
          <w:szCs w:val="20"/>
        </w:rPr>
        <w:t>la avería de</w:t>
      </w:r>
      <w:r w:rsidR="00A25A1E" w:rsidRPr="00D46593">
        <w:rPr>
          <w:rFonts w:ascii="Book Antiqua" w:eastAsia="Times New Roman" w:hAnsi="Book Antiqua" w:cs="Times New Roman"/>
          <w:szCs w:val="20"/>
          <w:lang w:eastAsia="x-none"/>
        </w:rPr>
        <w:t xml:space="preserve"> enseres o electrodomésticos. </w:t>
      </w:r>
      <w:r w:rsidR="009A2960" w:rsidRPr="00D46593">
        <w:rPr>
          <w:rFonts w:ascii="Book Antiqua" w:eastAsia="Times New Roman" w:hAnsi="Book Antiqua" w:cs="Times New Roman"/>
          <w:szCs w:val="20"/>
          <w:lang w:eastAsia="x-none"/>
        </w:rPr>
        <w:t xml:space="preserve"> </w:t>
      </w:r>
      <w:r w:rsidR="009A2960" w:rsidRPr="00D46593">
        <w:rPr>
          <w:rFonts w:ascii="Book Antiqua" w:eastAsia="Times New Roman" w:hAnsi="Book Antiqua" w:cs="Times New Roman"/>
          <w:szCs w:val="24"/>
          <w:lang w:eastAsia="x-none"/>
        </w:rPr>
        <w:t xml:space="preserve">Como consecuencia de las frecuentes interrupciones en el servicio de energía eléctrica o bajas en el voltaje del sistema eléctrico, se estima que miles de abonados denuncian, año tras año, daños a sus enseres, equipos, o electrodomésticos, incurriendo así en gastos adicionales para reparar o adquirir nuevos equipos. </w:t>
      </w:r>
    </w:p>
    <w:p w14:paraId="7B81455E" w14:textId="596FEB42" w:rsidR="000D383E" w:rsidRPr="00D46593" w:rsidRDefault="000D383E" w:rsidP="009A2960">
      <w:pPr>
        <w:rPr>
          <w:rFonts w:ascii="Book Antiqua" w:eastAsia="Times New Roman" w:hAnsi="Book Antiqua" w:cs="Arial"/>
          <w:color w:val="222222"/>
          <w:szCs w:val="24"/>
        </w:rPr>
      </w:pPr>
    </w:p>
    <w:p w14:paraId="3BA1EBDF" w14:textId="1AC38D39" w:rsidR="00D77222" w:rsidRPr="00D46593" w:rsidRDefault="001C3479" w:rsidP="00D77222">
      <w:pPr>
        <w:ind w:firstLine="720"/>
        <w:rPr>
          <w:rFonts w:ascii="Book Antiqua" w:eastAsia="Times New Roman" w:hAnsi="Book Antiqua" w:cs="Times New Roman"/>
          <w:szCs w:val="20"/>
        </w:rPr>
      </w:pPr>
      <w:r w:rsidRPr="00D46593">
        <w:rPr>
          <w:rFonts w:ascii="Book Antiqua" w:eastAsia="Times New Roman" w:hAnsi="Book Antiqua" w:cs="Arial"/>
          <w:color w:val="222222"/>
          <w:szCs w:val="24"/>
        </w:rPr>
        <w:t>Al presente, de sufrir la pérdida de algún</w:t>
      </w:r>
      <w:r w:rsidR="00A25A1E" w:rsidRPr="00D46593">
        <w:rPr>
          <w:rFonts w:ascii="Book Antiqua" w:eastAsia="Times New Roman" w:hAnsi="Book Antiqua" w:cs="Arial"/>
          <w:color w:val="222222"/>
          <w:szCs w:val="24"/>
        </w:rPr>
        <w:t xml:space="preserve"> enser o</w:t>
      </w:r>
      <w:r w:rsidRPr="00D46593">
        <w:rPr>
          <w:rFonts w:ascii="Book Antiqua" w:eastAsia="Times New Roman" w:hAnsi="Book Antiqua" w:cs="Arial"/>
          <w:color w:val="222222"/>
          <w:szCs w:val="24"/>
        </w:rPr>
        <w:t xml:space="preserve"> electrodoméstico por razón de</w:t>
      </w:r>
      <w:r w:rsidRPr="00D46593">
        <w:rPr>
          <w:rFonts w:ascii="Book Antiqua" w:eastAsia="Times New Roman" w:hAnsi="Book Antiqua" w:cs="Times New Roman"/>
          <w:color w:val="000000" w:themeColor="text1"/>
          <w:szCs w:val="20"/>
        </w:rPr>
        <w:t xml:space="preserve"> los episodios de bajo voltaje, fluctuación de voltaje y apagones de energías</w:t>
      </w:r>
      <w:r w:rsidRPr="00D46593">
        <w:rPr>
          <w:rFonts w:ascii="Book Antiqua" w:eastAsia="Times New Roman" w:hAnsi="Book Antiqua" w:cs="Arial"/>
          <w:color w:val="222222"/>
          <w:szCs w:val="24"/>
        </w:rPr>
        <w:t xml:space="preserve"> la única alternativa que ofrece la Autoridad de Energía Eléctrica y </w:t>
      </w:r>
      <w:r w:rsidRPr="00D46593">
        <w:rPr>
          <w:rFonts w:ascii="Book Antiqua" w:eastAsia="Times New Roman" w:hAnsi="Book Antiqua" w:cs="Times New Roman"/>
          <w:i/>
          <w:iCs/>
          <w:szCs w:val="20"/>
        </w:rPr>
        <w:t xml:space="preserve">LUMA Energy, LLC </w:t>
      </w:r>
      <w:r w:rsidRPr="00D46593">
        <w:rPr>
          <w:rFonts w:ascii="Book Antiqua" w:eastAsia="Times New Roman" w:hAnsi="Book Antiqua" w:cs="Times New Roman"/>
          <w:szCs w:val="20"/>
        </w:rPr>
        <w:t xml:space="preserve">es el oscuro y engorroso procedimiento de acudir a una oficina comercial para allí recibir una orientación sobre cómo reclamar los daños a la Autoridad de Energía Eléctrica, y entonces proceder a hacer los pasos correspondientes. Al presente, son constantes las quejas de </w:t>
      </w:r>
      <w:r w:rsidR="00D77222" w:rsidRPr="00D46593">
        <w:rPr>
          <w:rFonts w:ascii="Book Antiqua" w:eastAsia="Times New Roman" w:hAnsi="Book Antiqua" w:cs="Times New Roman"/>
          <w:szCs w:val="20"/>
        </w:rPr>
        <w:t xml:space="preserve">confusión, incertidumbre, dilaciones, y </w:t>
      </w:r>
      <w:r w:rsidRPr="00D46593">
        <w:rPr>
          <w:rFonts w:ascii="Book Antiqua" w:eastAsia="Times New Roman" w:hAnsi="Book Antiqua" w:cs="Times New Roman"/>
          <w:szCs w:val="20"/>
        </w:rPr>
        <w:t xml:space="preserve">falta de uniformidad sobre lo que incluyen tales pasos, así como la falta de respuesta o atención a los reclamos presentados. </w:t>
      </w:r>
      <w:r w:rsidR="00D77222" w:rsidRPr="00D46593">
        <w:rPr>
          <w:rFonts w:ascii="Book Antiqua" w:eastAsia="Times New Roman" w:hAnsi="Book Antiqua" w:cs="Times New Roman"/>
          <w:szCs w:val="20"/>
        </w:rPr>
        <w:t>Amerita subrayarse que, en gran parte, l</w:t>
      </w:r>
      <w:r w:rsidR="00D77222" w:rsidRPr="00D46593">
        <w:rPr>
          <w:rFonts w:ascii="Book Antiqua" w:eastAsia="Times New Roman" w:hAnsi="Book Antiqua" w:cs="Times New Roman"/>
          <w:szCs w:val="24"/>
          <w:lang w:eastAsia="x-none"/>
        </w:rPr>
        <w:t>a incertidumbre procesal que impera en la Oficina de Administración de Riesgos de la Autoridad cuando se presentan reclamos por enseres o electrodomésticos dañados responde al hecho de que la agencia aún</w:t>
      </w:r>
      <w:r w:rsidR="00D77222" w:rsidRPr="00D46593">
        <w:rPr>
          <w:rFonts w:ascii="Book Antiqua" w:eastAsia="Times New Roman" w:hAnsi="Book Antiqua" w:cs="Helvetica"/>
          <w:sz w:val="14"/>
          <w:szCs w:val="14"/>
          <w:lang w:eastAsia="x-none"/>
        </w:rPr>
        <w:t xml:space="preserve"> </w:t>
      </w:r>
      <w:r w:rsidR="00D77222" w:rsidRPr="00D46593">
        <w:rPr>
          <w:rFonts w:ascii="Book Antiqua" w:eastAsia="Times New Roman" w:hAnsi="Book Antiqua" w:cs="Helvetica"/>
          <w:szCs w:val="24"/>
          <w:lang w:eastAsia="x-none"/>
        </w:rPr>
        <w:t>carece de un procedimiento uniforme para tratar</w:t>
      </w:r>
      <w:r w:rsidR="00D77222" w:rsidRPr="00D46593">
        <w:rPr>
          <w:rFonts w:ascii="Book Antiqua" w:eastAsia="Times New Roman" w:hAnsi="Book Antiqua" w:cs="Helvetica"/>
          <w:sz w:val="14"/>
          <w:szCs w:val="14"/>
          <w:lang w:eastAsia="x-none"/>
        </w:rPr>
        <w:t xml:space="preserve"> </w:t>
      </w:r>
      <w:r w:rsidR="00D77222" w:rsidRPr="00D46593">
        <w:rPr>
          <w:rFonts w:ascii="Book Antiqua" w:eastAsia="Times New Roman" w:hAnsi="Book Antiqua" w:cs="Helvetica"/>
          <w:szCs w:val="24"/>
          <w:lang w:eastAsia="x-none"/>
        </w:rPr>
        <w:t>asuntos de esta naturaleza que cumpla con las exigencias procesales del debido proceso de ley</w:t>
      </w:r>
    </w:p>
    <w:p w14:paraId="778CBE50" w14:textId="6D6DED3C" w:rsidR="00A25A1E" w:rsidRPr="00D46593" w:rsidRDefault="00A25A1E" w:rsidP="00D77222">
      <w:pPr>
        <w:rPr>
          <w:rFonts w:ascii="Book Antiqua" w:eastAsia="Times New Roman" w:hAnsi="Book Antiqua" w:cs="Times New Roman"/>
          <w:szCs w:val="20"/>
        </w:rPr>
      </w:pPr>
    </w:p>
    <w:p w14:paraId="7844A553" w14:textId="43A03800" w:rsidR="00A25A1E" w:rsidRPr="00D46593" w:rsidRDefault="00A25A1E" w:rsidP="00A25A1E">
      <w:pPr>
        <w:ind w:firstLine="720"/>
        <w:rPr>
          <w:rFonts w:ascii="Book Antiqua" w:eastAsia="Times New Roman" w:hAnsi="Book Antiqua" w:cs="Times New Roman"/>
          <w:szCs w:val="20"/>
          <w:lang w:eastAsia="x-none"/>
        </w:rPr>
      </w:pPr>
      <w:r w:rsidRPr="00D46593">
        <w:rPr>
          <w:rFonts w:ascii="Book Antiqua" w:eastAsia="Times New Roman" w:hAnsi="Book Antiqua" w:cs="Times New Roman"/>
          <w:szCs w:val="20"/>
        </w:rPr>
        <w:t>Desde la responsabilidad fiscalizadora que permea nuestras funciones legislativas, colegimos que r</w:t>
      </w:r>
      <w:r w:rsidRPr="00D46593">
        <w:rPr>
          <w:rFonts w:ascii="Book Antiqua" w:eastAsia="Times New Roman" w:hAnsi="Book Antiqua" w:cs="Times New Roman"/>
          <w:szCs w:val="24"/>
        </w:rPr>
        <w:t xml:space="preserve">esulta injusto y </w:t>
      </w:r>
      <w:r w:rsidR="009A2149" w:rsidRPr="00D46593">
        <w:rPr>
          <w:rFonts w:ascii="Book Antiqua" w:eastAsia="Times New Roman" w:hAnsi="Book Antiqua" w:cs="Times New Roman"/>
          <w:szCs w:val="24"/>
        </w:rPr>
        <w:t>abusivo</w:t>
      </w:r>
      <w:r w:rsidRPr="00D46593">
        <w:rPr>
          <w:rFonts w:ascii="Book Antiqua" w:eastAsia="Times New Roman" w:hAnsi="Book Antiqua" w:cs="Times New Roman"/>
          <w:szCs w:val="24"/>
        </w:rPr>
        <w:t xml:space="preserve"> que un abonado de la Autoridad de Energía Eléctrica, sea residencial, comercial o industrial, tenga que recurrir a gastos extraordinarios de reparación o sustitución de enseres, equipo, o electrodomésticos dañados </w:t>
      </w:r>
      <w:r w:rsidRPr="00D46593">
        <w:rPr>
          <w:rFonts w:ascii="Book Antiqua" w:eastAsia="Times New Roman" w:hAnsi="Book Antiqua" w:cs="Times New Roman"/>
          <w:szCs w:val="20"/>
          <w:lang w:eastAsia="x-none"/>
        </w:rPr>
        <w:t xml:space="preserve">a causa de apagones o bajas en el voltaje del sistema eléctrico del País. Continuar permitiendo </w:t>
      </w:r>
      <w:r w:rsidRPr="00D46593">
        <w:rPr>
          <w:rFonts w:ascii="Book Antiqua" w:eastAsia="Times New Roman" w:hAnsi="Book Antiqua" w:cs="Times New Roman"/>
          <w:szCs w:val="24"/>
        </w:rPr>
        <w:t xml:space="preserve">semejante proceder equivaldría a recompensar y fomenta la ineficiencia administrativa y gerencial evidenciada por </w:t>
      </w:r>
      <w:r w:rsidRPr="00D46593">
        <w:rPr>
          <w:rFonts w:ascii="Book Antiqua" w:eastAsia="Times New Roman" w:hAnsi="Book Antiqua" w:cs="Times New Roman"/>
          <w:i/>
          <w:iCs/>
          <w:szCs w:val="20"/>
        </w:rPr>
        <w:t>LUMA Energy, LLC</w:t>
      </w:r>
      <w:r w:rsidRPr="00D46593">
        <w:rPr>
          <w:rFonts w:ascii="Book Antiqua" w:eastAsia="Times New Roman" w:hAnsi="Book Antiqua" w:cs="Times New Roman"/>
          <w:szCs w:val="24"/>
        </w:rPr>
        <w:t xml:space="preserve"> y que tanto daño le ha hecho a </w:t>
      </w:r>
      <w:r w:rsidR="009A2149" w:rsidRPr="00D46593">
        <w:rPr>
          <w:rFonts w:ascii="Book Antiqua" w:eastAsia="Times New Roman" w:hAnsi="Book Antiqua" w:cs="Times New Roman"/>
          <w:szCs w:val="24"/>
        </w:rPr>
        <w:t xml:space="preserve">la provisión del esencial servicio energético en el País. </w:t>
      </w:r>
    </w:p>
    <w:p w14:paraId="199CC144" w14:textId="2DAF02C1" w:rsidR="00A25A1E" w:rsidRPr="00D46593" w:rsidRDefault="00A25A1E" w:rsidP="009A2149">
      <w:pPr>
        <w:rPr>
          <w:rFonts w:ascii="Book Antiqua" w:eastAsia="Times New Roman" w:hAnsi="Book Antiqua" w:cs="Arial"/>
          <w:color w:val="222222"/>
          <w:szCs w:val="24"/>
        </w:rPr>
      </w:pPr>
    </w:p>
    <w:p w14:paraId="07134E54" w14:textId="59FBE1DD" w:rsidR="00A25A1E" w:rsidRPr="00D46593" w:rsidRDefault="00A25A1E" w:rsidP="00A25A1E">
      <w:pPr>
        <w:ind w:firstLine="708"/>
        <w:rPr>
          <w:rFonts w:ascii="Book Antiqua" w:eastAsia="Calibri" w:hAnsi="Book Antiqua" w:cs="Times New Roman"/>
          <w:color w:val="000000" w:themeColor="text1"/>
          <w:szCs w:val="24"/>
        </w:rPr>
      </w:pPr>
      <w:r w:rsidRPr="00D46593">
        <w:rPr>
          <w:rFonts w:ascii="Book Antiqua" w:eastAsia="Times New Roman" w:hAnsi="Book Antiqua" w:cs="Times New Roman"/>
          <w:color w:val="000000" w:themeColor="text1"/>
          <w:szCs w:val="24"/>
        </w:rPr>
        <w:t>Por las razones antes expuestas, esta Asamblea Legislativa entiende necesario y apremiante crear un procedimiento uniforme</w:t>
      </w:r>
      <w:r w:rsidR="00D77222" w:rsidRPr="00D46593">
        <w:rPr>
          <w:rFonts w:ascii="Book Antiqua" w:eastAsia="Times New Roman" w:hAnsi="Book Antiqua" w:cs="Times New Roman"/>
          <w:color w:val="000000" w:themeColor="text1"/>
          <w:szCs w:val="24"/>
        </w:rPr>
        <w:t xml:space="preserve"> y expedito</w:t>
      </w:r>
      <w:r w:rsidRPr="00D46593">
        <w:rPr>
          <w:rFonts w:ascii="Book Antiqua" w:eastAsia="Times New Roman" w:hAnsi="Book Antiqua" w:cs="Times New Roman"/>
          <w:color w:val="000000" w:themeColor="text1"/>
          <w:szCs w:val="24"/>
        </w:rPr>
        <w:t xml:space="preserve"> para </w:t>
      </w:r>
      <w:r w:rsidR="00D77222" w:rsidRPr="00D46593">
        <w:rPr>
          <w:rFonts w:ascii="Book Antiqua" w:eastAsia="Times New Roman" w:hAnsi="Book Antiqua" w:cs="Times New Roman"/>
          <w:color w:val="000000" w:themeColor="text1"/>
          <w:szCs w:val="24"/>
        </w:rPr>
        <w:t xml:space="preserve">la concesión de créditos </w:t>
      </w:r>
      <w:r w:rsidR="00D77222" w:rsidRPr="00D46593">
        <w:rPr>
          <w:rFonts w:ascii="Book Antiqua" w:eastAsia="Times New Roman" w:hAnsi="Book Antiqua" w:cs="Times New Roman"/>
          <w:szCs w:val="24"/>
        </w:rPr>
        <w:t xml:space="preserve">por reparación o sustitución de enseres, equipo, o electrodomésticos dañados </w:t>
      </w:r>
      <w:r w:rsidR="00D77222" w:rsidRPr="00D46593">
        <w:rPr>
          <w:rFonts w:ascii="Book Antiqua" w:eastAsia="Times New Roman" w:hAnsi="Book Antiqua" w:cs="Times New Roman"/>
          <w:szCs w:val="20"/>
          <w:lang w:eastAsia="x-none"/>
        </w:rPr>
        <w:t>a causa de apagones o bajas en el voltaje del sistema eléctrico del País</w:t>
      </w:r>
    </w:p>
    <w:p w14:paraId="6AE4BCA5" w14:textId="77777777" w:rsidR="00BD7A89" w:rsidRDefault="00BD7A89" w:rsidP="00BD7A89">
      <w:pPr>
        <w:outlineLvl w:val="1"/>
        <w:rPr>
          <w:rFonts w:ascii="Book Antiqua" w:eastAsia="Calibri" w:hAnsi="Book Antiqua" w:cs="Times New Roman"/>
          <w:bCs/>
          <w:color w:val="000000" w:themeColor="text1"/>
          <w:szCs w:val="24"/>
          <w:lang w:eastAsia="x-none"/>
        </w:rPr>
      </w:pPr>
    </w:p>
    <w:p w14:paraId="1966EFCF" w14:textId="77777777" w:rsidR="00185C80" w:rsidRDefault="00185C80" w:rsidP="00BD7A89">
      <w:pPr>
        <w:outlineLvl w:val="1"/>
        <w:rPr>
          <w:rFonts w:ascii="Book Antiqua" w:eastAsia="Calibri" w:hAnsi="Book Antiqua" w:cs="Times New Roman"/>
          <w:bCs/>
          <w:color w:val="000000" w:themeColor="text1"/>
          <w:szCs w:val="24"/>
          <w:lang w:eastAsia="x-none"/>
        </w:rPr>
      </w:pPr>
    </w:p>
    <w:p w14:paraId="1D0A8EAD" w14:textId="77777777" w:rsidR="00185C80" w:rsidRDefault="00185C80" w:rsidP="00BD7A89">
      <w:pPr>
        <w:outlineLvl w:val="1"/>
        <w:rPr>
          <w:rFonts w:ascii="Book Antiqua" w:eastAsia="Calibri" w:hAnsi="Book Antiqua" w:cs="Times New Roman"/>
          <w:bCs/>
          <w:color w:val="000000" w:themeColor="text1"/>
          <w:szCs w:val="24"/>
          <w:lang w:eastAsia="x-none"/>
        </w:rPr>
      </w:pPr>
    </w:p>
    <w:p w14:paraId="39103859" w14:textId="77777777" w:rsidR="00185C80" w:rsidRDefault="00185C80" w:rsidP="00BD7A89">
      <w:pPr>
        <w:outlineLvl w:val="1"/>
        <w:rPr>
          <w:rFonts w:ascii="Book Antiqua" w:eastAsia="Calibri" w:hAnsi="Book Antiqua" w:cs="Times New Roman"/>
          <w:bCs/>
          <w:color w:val="000000" w:themeColor="text1"/>
          <w:szCs w:val="24"/>
          <w:lang w:eastAsia="x-none"/>
        </w:rPr>
      </w:pPr>
    </w:p>
    <w:p w14:paraId="6404A616" w14:textId="77777777" w:rsidR="00185C80" w:rsidRPr="00D46593" w:rsidRDefault="00185C80" w:rsidP="00BD7A89">
      <w:pPr>
        <w:outlineLvl w:val="1"/>
        <w:rPr>
          <w:rFonts w:ascii="Book Antiqua" w:eastAsia="Calibri" w:hAnsi="Book Antiqua" w:cs="Times New Roman"/>
          <w:bCs/>
          <w:color w:val="000000" w:themeColor="text1"/>
          <w:szCs w:val="24"/>
          <w:lang w:eastAsia="x-none"/>
        </w:rPr>
      </w:pPr>
      <w:bookmarkStart w:id="1" w:name="_GoBack"/>
      <w:bookmarkEnd w:id="1"/>
    </w:p>
    <w:p w14:paraId="14DA3C02" w14:textId="560357C7" w:rsidR="00BD7A89" w:rsidRPr="00D46593" w:rsidRDefault="003110DD" w:rsidP="00BD7A89">
      <w:pPr>
        <w:outlineLvl w:val="1"/>
        <w:rPr>
          <w:rFonts w:ascii="Book Antiqua" w:eastAsia="Calibri" w:hAnsi="Book Antiqua" w:cs="Times New Roman"/>
          <w:bCs/>
          <w:color w:val="000000" w:themeColor="text1"/>
          <w:szCs w:val="24"/>
          <w:lang w:eastAsia="x-none"/>
        </w:rPr>
      </w:pPr>
      <w:r w:rsidRPr="00D46593">
        <w:rPr>
          <w:rFonts w:ascii="Book Antiqua" w:eastAsia="Times New Roman" w:hAnsi="Book Antiqua" w:cs="Times New Roman"/>
          <w:i/>
          <w:color w:val="000000" w:themeColor="text1"/>
          <w:szCs w:val="24"/>
        </w:rPr>
        <w:t>RESUÉLVESE</w:t>
      </w:r>
      <w:r w:rsidR="00BD7A89" w:rsidRPr="00D46593">
        <w:rPr>
          <w:rFonts w:ascii="Book Antiqua" w:eastAsia="Times New Roman" w:hAnsi="Book Antiqua" w:cs="Times New Roman"/>
          <w:i/>
          <w:color w:val="000000" w:themeColor="text1"/>
          <w:szCs w:val="24"/>
        </w:rPr>
        <w:t xml:space="preserve"> POR LA ASAMBLEA LEGISLATIVA DE PUERTO RICO:</w:t>
      </w:r>
    </w:p>
    <w:p w14:paraId="133CC2B1" w14:textId="77777777" w:rsidR="00BD7A89" w:rsidRPr="00D46593" w:rsidRDefault="00BD7A89" w:rsidP="00BD7A89">
      <w:pPr>
        <w:rPr>
          <w:rFonts w:ascii="Book Antiqua" w:eastAsia="Calibri" w:hAnsi="Book Antiqua" w:cs="Times New Roman"/>
          <w:color w:val="000000" w:themeColor="text1"/>
          <w:szCs w:val="24"/>
        </w:rPr>
      </w:pPr>
    </w:p>
    <w:p w14:paraId="1D05A8FD" w14:textId="77777777" w:rsidR="00BD7A89" w:rsidRPr="00D46593" w:rsidRDefault="00BD7A89" w:rsidP="00BD7A89">
      <w:pPr>
        <w:spacing w:line="480" w:lineRule="auto"/>
        <w:rPr>
          <w:rFonts w:ascii="Book Antiqua" w:eastAsia="Calibri" w:hAnsi="Book Antiqua" w:cs="Times New Roman"/>
          <w:color w:val="000000" w:themeColor="text1"/>
          <w:szCs w:val="24"/>
        </w:rPr>
        <w:sectPr w:rsidR="00BD7A89" w:rsidRPr="00D46593" w:rsidSect="00F60E4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14:paraId="79EDC5C5" w14:textId="2A8A50B0" w:rsidR="005018CE" w:rsidRPr="00D46593" w:rsidRDefault="00BD7A89" w:rsidP="005018CE">
      <w:pPr>
        <w:spacing w:line="480" w:lineRule="auto"/>
        <w:ind w:firstLine="708"/>
        <w:rPr>
          <w:rFonts w:ascii="Book Antiqua" w:eastAsia="Times New Roman" w:hAnsi="Book Antiqua" w:cs="Times New Roman"/>
          <w:szCs w:val="20"/>
          <w:lang w:eastAsia="x-none"/>
        </w:rPr>
      </w:pPr>
      <w:bookmarkStart w:id="2" w:name="_Hlk63665071"/>
      <w:bookmarkEnd w:id="0"/>
      <w:r w:rsidRPr="00D46593">
        <w:rPr>
          <w:rFonts w:ascii="Book Antiqua" w:eastAsia="Times New Roman" w:hAnsi="Book Antiqua" w:cs="Times New Roman"/>
          <w:bCs/>
          <w:color w:val="000000" w:themeColor="text1"/>
          <w:szCs w:val="24"/>
        </w:rPr>
        <w:t xml:space="preserve">Artículo 1.- </w:t>
      </w:r>
      <w:r w:rsidR="003879C8" w:rsidRPr="00D46593">
        <w:rPr>
          <w:rFonts w:ascii="Book Antiqua" w:eastAsia="Times New Roman" w:hAnsi="Book Antiqua" w:cs="Times New Roman"/>
          <w:szCs w:val="24"/>
        </w:rPr>
        <w:t xml:space="preserve">Se </w:t>
      </w:r>
      <w:r w:rsidR="003110DD" w:rsidRPr="00D46593">
        <w:rPr>
          <w:rFonts w:ascii="Book Antiqua" w:eastAsia="Times New Roman" w:hAnsi="Book Antiqua" w:cs="Times New Roman"/>
          <w:szCs w:val="24"/>
        </w:rPr>
        <w:t>ordena a la Autoridad de Energía Eléctrica</w:t>
      </w:r>
      <w:r w:rsidR="00B44DC6" w:rsidRPr="00D46593">
        <w:rPr>
          <w:rFonts w:ascii="Book Antiqua" w:eastAsia="Times New Roman" w:hAnsi="Book Antiqua" w:cs="Times New Roman"/>
          <w:szCs w:val="24"/>
        </w:rPr>
        <w:t xml:space="preserve">, </w:t>
      </w:r>
      <w:r w:rsidR="00B44DC6" w:rsidRPr="00D46593">
        <w:rPr>
          <w:rFonts w:ascii="Book Antiqua" w:eastAsia="Times New Roman" w:hAnsi="Book Antiqua" w:cs="Times New Roman"/>
          <w:color w:val="000000" w:themeColor="text1"/>
          <w:szCs w:val="24"/>
        </w:rPr>
        <w:t xml:space="preserve">incluyendo a su ente administrador </w:t>
      </w:r>
      <w:r w:rsidR="00B44DC6" w:rsidRPr="00D46593">
        <w:rPr>
          <w:rFonts w:ascii="Book Antiqua" w:eastAsia="Times New Roman" w:hAnsi="Book Antiqua" w:cs="Arial"/>
          <w:i/>
          <w:color w:val="222222"/>
          <w:szCs w:val="24"/>
        </w:rPr>
        <w:t xml:space="preserve">LUMA Energy, LLC </w:t>
      </w:r>
      <w:r w:rsidR="00B44DC6" w:rsidRPr="00D46593">
        <w:rPr>
          <w:rFonts w:ascii="Book Antiqua" w:eastAsia="Times New Roman" w:hAnsi="Book Antiqua" w:cs="Arial"/>
          <w:iCs/>
          <w:color w:val="222222"/>
          <w:szCs w:val="24"/>
        </w:rPr>
        <w:t>y</w:t>
      </w:r>
      <w:r w:rsidR="00B44DC6" w:rsidRPr="00D46593">
        <w:rPr>
          <w:rFonts w:ascii="Book Antiqua" w:eastAsia="Times New Roman" w:hAnsi="Book Antiqua" w:cs="Arial"/>
          <w:i/>
          <w:color w:val="222222"/>
          <w:szCs w:val="24"/>
        </w:rPr>
        <w:t xml:space="preserve"> LUMA </w:t>
      </w:r>
      <w:proofErr w:type="spellStart"/>
      <w:r w:rsidR="00B44DC6" w:rsidRPr="00D46593">
        <w:rPr>
          <w:rFonts w:ascii="Book Antiqua" w:eastAsia="Times New Roman" w:hAnsi="Book Antiqua" w:cs="Arial"/>
          <w:i/>
          <w:color w:val="222222"/>
          <w:szCs w:val="24"/>
        </w:rPr>
        <w:t>Energy</w:t>
      </w:r>
      <w:proofErr w:type="spellEnd"/>
      <w:r w:rsidR="00B44DC6" w:rsidRPr="00D46593">
        <w:rPr>
          <w:rFonts w:ascii="Book Antiqua" w:eastAsia="Times New Roman" w:hAnsi="Book Antiqua" w:cs="Arial"/>
          <w:i/>
          <w:color w:val="222222"/>
          <w:szCs w:val="24"/>
        </w:rPr>
        <w:t xml:space="preserve"> </w:t>
      </w:r>
      <w:proofErr w:type="spellStart"/>
      <w:r w:rsidR="00B44DC6" w:rsidRPr="00D46593">
        <w:rPr>
          <w:rFonts w:ascii="Book Antiqua" w:eastAsia="Times New Roman" w:hAnsi="Book Antiqua" w:cs="Arial"/>
          <w:i/>
          <w:color w:val="222222"/>
          <w:szCs w:val="24"/>
        </w:rPr>
        <w:t>Servco</w:t>
      </w:r>
      <w:proofErr w:type="spellEnd"/>
      <w:r w:rsidR="00B44DC6" w:rsidRPr="00D46593">
        <w:rPr>
          <w:rFonts w:ascii="Book Antiqua" w:eastAsia="Times New Roman" w:hAnsi="Book Antiqua" w:cs="Arial"/>
          <w:i/>
          <w:color w:val="222222"/>
          <w:szCs w:val="24"/>
        </w:rPr>
        <w:t xml:space="preserve">, LLC </w:t>
      </w:r>
      <w:r w:rsidR="00B44DC6" w:rsidRPr="00D46593">
        <w:rPr>
          <w:rFonts w:ascii="Book Antiqua" w:eastAsia="Times New Roman" w:hAnsi="Book Antiqua" w:cs="Arial"/>
          <w:iCs/>
          <w:color w:val="222222"/>
          <w:szCs w:val="24"/>
        </w:rPr>
        <w:t>y/o cualquier sucesora en derecho, subsidiaria</w:t>
      </w:r>
      <w:r w:rsidR="00B44DC6" w:rsidRPr="00D46593">
        <w:rPr>
          <w:rFonts w:ascii="Book Antiqua" w:eastAsia="Times New Roman" w:hAnsi="Book Antiqua" w:cs="Times New Roman"/>
          <w:color w:val="000000" w:themeColor="text1"/>
          <w:szCs w:val="24"/>
        </w:rPr>
        <w:t xml:space="preserve">, o administradora, </w:t>
      </w:r>
      <w:r w:rsidR="003110DD" w:rsidRPr="00D46593">
        <w:rPr>
          <w:rFonts w:ascii="Book Antiqua" w:eastAsia="Times New Roman" w:hAnsi="Book Antiqua" w:cs="Times New Roman"/>
          <w:szCs w:val="24"/>
        </w:rPr>
        <w:t xml:space="preserve"> a </w:t>
      </w:r>
      <w:r w:rsidR="003879C8" w:rsidRPr="00D46593">
        <w:rPr>
          <w:rFonts w:ascii="Book Antiqua" w:eastAsia="Times New Roman" w:hAnsi="Book Antiqua" w:cs="Times New Roman"/>
          <w:szCs w:val="20"/>
        </w:rPr>
        <w:t>otorga</w:t>
      </w:r>
      <w:r w:rsidR="003110DD" w:rsidRPr="00D46593">
        <w:rPr>
          <w:rFonts w:ascii="Book Antiqua" w:eastAsia="Times New Roman" w:hAnsi="Book Antiqua" w:cs="Times New Roman"/>
          <w:szCs w:val="20"/>
        </w:rPr>
        <w:t>r</w:t>
      </w:r>
      <w:r w:rsidR="003879C8" w:rsidRPr="00D46593">
        <w:rPr>
          <w:rFonts w:ascii="Book Antiqua" w:eastAsia="Times New Roman" w:hAnsi="Book Antiqua" w:cs="Times New Roman"/>
          <w:szCs w:val="20"/>
        </w:rPr>
        <w:t xml:space="preserve"> un crédito automático</w:t>
      </w:r>
      <w:r w:rsidR="003110DD" w:rsidRPr="00D46593">
        <w:rPr>
          <w:rFonts w:ascii="Book Antiqua" w:eastAsia="Times New Roman" w:hAnsi="Book Antiqua" w:cs="Times New Roman"/>
          <w:szCs w:val="20"/>
        </w:rPr>
        <w:t xml:space="preserve">, a ser aplicado de manera uniforme en los siguientes ciclos de facturación, </w:t>
      </w:r>
      <w:r w:rsidR="003879C8" w:rsidRPr="00D46593">
        <w:rPr>
          <w:rFonts w:ascii="Book Antiqua" w:eastAsia="Times New Roman" w:hAnsi="Book Antiqua" w:cs="Times New Roman"/>
          <w:szCs w:val="20"/>
        </w:rPr>
        <w:t xml:space="preserve">a todo abonado, sea comercial o residencial, </w:t>
      </w:r>
      <w:r w:rsidR="003110DD" w:rsidRPr="00D46593">
        <w:rPr>
          <w:rFonts w:ascii="Book Antiqua" w:eastAsia="Times New Roman" w:hAnsi="Book Antiqua" w:cs="Times New Roman"/>
          <w:szCs w:val="20"/>
        </w:rPr>
        <w:t>que</w:t>
      </w:r>
      <w:r w:rsidR="005018CE" w:rsidRPr="00D46593">
        <w:rPr>
          <w:rFonts w:ascii="Book Antiqua" w:eastAsia="Times New Roman" w:hAnsi="Book Antiqua" w:cs="Times New Roman"/>
          <w:szCs w:val="20"/>
        </w:rPr>
        <w:t xml:space="preserve"> alegue</w:t>
      </w:r>
      <w:r w:rsidR="005254F3" w:rsidRPr="00D46593">
        <w:rPr>
          <w:rFonts w:ascii="Book Antiqua" w:eastAsia="Times New Roman" w:hAnsi="Book Antiqua" w:cs="Times New Roman"/>
          <w:szCs w:val="20"/>
        </w:rPr>
        <w:t>, mediante declaración jurada,</w:t>
      </w:r>
      <w:r w:rsidR="005018CE" w:rsidRPr="00D46593">
        <w:rPr>
          <w:rFonts w:ascii="Book Antiqua" w:eastAsia="Times New Roman" w:hAnsi="Book Antiqua" w:cs="Times New Roman"/>
          <w:szCs w:val="20"/>
        </w:rPr>
        <w:t xml:space="preserve"> </w:t>
      </w:r>
      <w:r w:rsidR="005018CE" w:rsidRPr="00D46593">
        <w:rPr>
          <w:rFonts w:ascii="Book Antiqua" w:eastAsia="Times New Roman" w:hAnsi="Book Antiqua" w:cs="Times New Roman"/>
          <w:szCs w:val="20"/>
          <w:lang w:eastAsia="x-none"/>
        </w:rPr>
        <w:t>ser dueño de cualquier enser, equipo o electrodoméstico dañado a causa de apagones o bajas en el voltaje del sistema eléctrico</w:t>
      </w:r>
      <w:r w:rsidR="005254F3" w:rsidRPr="00D46593">
        <w:rPr>
          <w:rFonts w:ascii="Book Antiqua" w:eastAsia="Times New Roman" w:hAnsi="Book Antiqua" w:cs="Times New Roman"/>
          <w:szCs w:val="20"/>
          <w:lang w:eastAsia="x-none"/>
        </w:rPr>
        <w:t>, así como la fecha del alegado daño</w:t>
      </w:r>
      <w:r w:rsidR="005018CE" w:rsidRPr="00D46593">
        <w:rPr>
          <w:rFonts w:ascii="Book Antiqua" w:eastAsia="Times New Roman" w:hAnsi="Book Antiqua" w:cs="Times New Roman"/>
          <w:bCs/>
          <w:color w:val="000000" w:themeColor="text1"/>
          <w:szCs w:val="24"/>
        </w:rPr>
        <w:t xml:space="preserve">; que </w:t>
      </w:r>
      <w:r w:rsidR="003110DD" w:rsidRPr="00D46593">
        <w:rPr>
          <w:rFonts w:ascii="Book Antiqua" w:eastAsia="Times New Roman" w:hAnsi="Book Antiqua" w:cs="Times New Roman"/>
          <w:szCs w:val="20"/>
        </w:rPr>
        <w:t>evidencie</w:t>
      </w:r>
      <w:r w:rsidR="005018CE" w:rsidRPr="00D46593">
        <w:rPr>
          <w:rFonts w:ascii="Book Antiqua" w:eastAsia="Times New Roman" w:hAnsi="Book Antiqua" w:cs="Times New Roman"/>
          <w:szCs w:val="20"/>
        </w:rPr>
        <w:t xml:space="preserve"> tal daño y el costo de reparación o sustitución, </w:t>
      </w:r>
      <w:r w:rsidR="005018CE" w:rsidRPr="00D46593">
        <w:rPr>
          <w:rFonts w:ascii="Book Antiqua" w:eastAsia="Times New Roman" w:hAnsi="Book Antiqua" w:cs="Times New Roman"/>
          <w:szCs w:val="20"/>
          <w:lang w:eastAsia="x-none"/>
        </w:rPr>
        <w:t>según certificación y estimado de perito electricista debidamente colegiado, licenciado, y autorizado a ejercer su profesión en la jurisdicción del Estado Libre Asociado de Puerto Rico.</w:t>
      </w:r>
    </w:p>
    <w:p w14:paraId="2A934DF2" w14:textId="2EB6E1E9" w:rsidR="005018CE" w:rsidRPr="00D46593" w:rsidRDefault="005018CE" w:rsidP="005254F3">
      <w:pPr>
        <w:spacing w:line="480" w:lineRule="auto"/>
        <w:ind w:firstLine="708"/>
        <w:rPr>
          <w:rFonts w:ascii="Book Antiqua" w:eastAsia="Times New Roman" w:hAnsi="Book Antiqua" w:cs="Times New Roman"/>
          <w:szCs w:val="20"/>
          <w:lang w:eastAsia="x-none"/>
        </w:rPr>
      </w:pPr>
      <w:r w:rsidRPr="00D46593">
        <w:rPr>
          <w:rFonts w:ascii="Book Antiqua" w:eastAsia="Times New Roman" w:hAnsi="Book Antiqua" w:cs="Times New Roman"/>
          <w:szCs w:val="20"/>
          <w:lang w:eastAsia="x-none"/>
        </w:rPr>
        <w:t>El crédito automático deberá otorgarse a cualquier abonado que remita</w:t>
      </w:r>
      <w:r w:rsidR="005254F3" w:rsidRPr="00D46593">
        <w:rPr>
          <w:rFonts w:ascii="Book Antiqua" w:eastAsia="Times New Roman" w:hAnsi="Book Antiqua" w:cs="Times New Roman"/>
          <w:szCs w:val="20"/>
          <w:lang w:eastAsia="x-none"/>
        </w:rPr>
        <w:t xml:space="preserve"> </w:t>
      </w:r>
      <w:r w:rsidRPr="00D46593">
        <w:rPr>
          <w:rFonts w:ascii="Book Antiqua" w:eastAsia="Times New Roman" w:hAnsi="Book Antiqua" w:cs="Times New Roman"/>
          <w:szCs w:val="20"/>
          <w:lang w:eastAsia="x-none"/>
        </w:rPr>
        <w:t xml:space="preserve">mediante entrega personal en alguna de las oficinas de servicio al cliente de </w:t>
      </w:r>
      <w:r w:rsidRPr="00D46593">
        <w:rPr>
          <w:rFonts w:ascii="Book Antiqua" w:eastAsia="Times New Roman" w:hAnsi="Book Antiqua" w:cs="Times New Roman"/>
          <w:szCs w:val="24"/>
        </w:rPr>
        <w:t>la Autoridad de Energía Eléctrica</w:t>
      </w:r>
      <w:r w:rsidR="005254F3" w:rsidRPr="00D46593">
        <w:rPr>
          <w:rFonts w:ascii="Book Antiqua" w:eastAsia="Times New Roman" w:hAnsi="Book Antiqua" w:cs="Times New Roman"/>
          <w:szCs w:val="24"/>
        </w:rPr>
        <w:t xml:space="preserve">, incluyendo las administradas por </w:t>
      </w:r>
      <w:r w:rsidR="005254F3" w:rsidRPr="00D46593">
        <w:rPr>
          <w:rFonts w:ascii="Book Antiqua" w:eastAsia="Times New Roman" w:hAnsi="Book Antiqua" w:cs="Times New Roman"/>
          <w:i/>
          <w:iCs/>
          <w:szCs w:val="20"/>
        </w:rPr>
        <w:t xml:space="preserve">LUMA Energy, LLC; o </w:t>
      </w:r>
      <w:r w:rsidR="005254F3" w:rsidRPr="00D46593">
        <w:rPr>
          <w:rFonts w:ascii="Book Antiqua" w:eastAsia="Times New Roman" w:hAnsi="Book Antiqua" w:cs="Times New Roman"/>
          <w:szCs w:val="20"/>
        </w:rPr>
        <w:t xml:space="preserve">mediante envío por correo electrónico o </w:t>
      </w:r>
      <w:r w:rsidRPr="00D46593">
        <w:rPr>
          <w:rFonts w:ascii="Book Antiqua" w:eastAsia="Times New Roman" w:hAnsi="Book Antiqua" w:cs="Times New Roman"/>
          <w:szCs w:val="24"/>
        </w:rPr>
        <w:t xml:space="preserve"> </w:t>
      </w:r>
      <w:r w:rsidRPr="00D46593">
        <w:rPr>
          <w:rFonts w:ascii="Book Antiqua" w:eastAsia="Times New Roman" w:hAnsi="Book Antiqua" w:cs="Times New Roman"/>
          <w:szCs w:val="20"/>
          <w:lang w:eastAsia="x-none"/>
        </w:rPr>
        <w:t>a través de sistema electrónico debidamente habilitado para ello,</w:t>
      </w:r>
      <w:r w:rsidR="005254F3" w:rsidRPr="00D46593">
        <w:rPr>
          <w:rFonts w:ascii="Book Antiqua" w:eastAsia="Times New Roman" w:hAnsi="Book Antiqua" w:cs="Times New Roman"/>
          <w:szCs w:val="20"/>
          <w:lang w:eastAsia="x-none"/>
        </w:rPr>
        <w:t xml:space="preserve"> de la declaración jurada, la certificación y el estimado requeridos; y </w:t>
      </w:r>
      <w:r w:rsidRPr="00D46593">
        <w:rPr>
          <w:rFonts w:ascii="Book Antiqua" w:eastAsia="Times New Roman" w:hAnsi="Book Antiqua" w:cs="Times New Roman"/>
          <w:szCs w:val="20"/>
          <w:lang w:eastAsia="x-none"/>
        </w:rPr>
        <w:t xml:space="preserve">cuyo estimado de reparación o sustitución </w:t>
      </w:r>
      <w:r w:rsidR="005254F3" w:rsidRPr="00D46593">
        <w:rPr>
          <w:rFonts w:ascii="Book Antiqua" w:eastAsia="Times New Roman" w:hAnsi="Book Antiqua" w:cs="Times New Roman"/>
          <w:szCs w:val="20"/>
          <w:lang w:eastAsia="x-none"/>
        </w:rPr>
        <w:t xml:space="preserve">comprenda una cuantía </w:t>
      </w:r>
      <w:r w:rsidRPr="00D46593">
        <w:rPr>
          <w:rFonts w:ascii="Book Antiqua" w:eastAsia="Times New Roman" w:hAnsi="Book Antiqua" w:cs="Times New Roman"/>
          <w:szCs w:val="20"/>
          <w:lang w:eastAsia="x-none"/>
        </w:rPr>
        <w:t xml:space="preserve">hasta </w:t>
      </w:r>
      <w:r w:rsidR="005254F3" w:rsidRPr="00D46593">
        <w:rPr>
          <w:rFonts w:ascii="Book Antiqua" w:eastAsia="Times New Roman" w:hAnsi="Book Antiqua" w:cs="Times New Roman"/>
          <w:szCs w:val="20"/>
          <w:lang w:eastAsia="x-none"/>
        </w:rPr>
        <w:t>un máximo</w:t>
      </w:r>
      <w:r w:rsidRPr="00D46593">
        <w:rPr>
          <w:rFonts w:ascii="Book Antiqua" w:eastAsia="Times New Roman" w:hAnsi="Book Antiqua" w:cs="Times New Roman"/>
          <w:szCs w:val="20"/>
          <w:lang w:eastAsia="x-none"/>
        </w:rPr>
        <w:t xml:space="preserve"> de doscientos noventa y nueve dólares con noventa y nueve centavos ($299.99).</w:t>
      </w:r>
      <w:r w:rsidR="005254F3" w:rsidRPr="00D46593">
        <w:rPr>
          <w:rFonts w:ascii="Book Antiqua" w:eastAsia="Times New Roman" w:hAnsi="Book Antiqua" w:cs="Times New Roman"/>
          <w:szCs w:val="20"/>
          <w:lang w:eastAsia="x-none"/>
        </w:rPr>
        <w:t xml:space="preserve"> Sobre el crédito automático a ser otorgado se sumará la cuantía correspondiente al diez por ciento (10%) del mismo para cubrir los gastos de la reclamación de crédito presentada.  </w:t>
      </w:r>
    </w:p>
    <w:p w14:paraId="54CC1556" w14:textId="76C72F6A" w:rsidR="005254F3" w:rsidRPr="00D46593" w:rsidRDefault="005254F3" w:rsidP="005254F3">
      <w:pPr>
        <w:spacing w:line="480" w:lineRule="auto"/>
        <w:ind w:firstLine="708"/>
        <w:rPr>
          <w:rFonts w:ascii="Book Antiqua" w:eastAsia="Times New Roman" w:hAnsi="Book Antiqua" w:cs="Times New Roman"/>
          <w:szCs w:val="20"/>
        </w:rPr>
      </w:pPr>
      <w:r w:rsidRPr="00D46593">
        <w:rPr>
          <w:rFonts w:ascii="Book Antiqua" w:eastAsia="Times New Roman" w:hAnsi="Book Antiqua" w:cs="Times New Roman"/>
          <w:szCs w:val="24"/>
        </w:rPr>
        <w:t xml:space="preserve">Si el cliente o abonado cumple con los precedentes requisitos, ni la Autoridad de Energía Eléctrica ni </w:t>
      </w:r>
      <w:r w:rsidRPr="00D46593">
        <w:rPr>
          <w:rFonts w:ascii="Book Antiqua" w:eastAsia="Times New Roman" w:hAnsi="Book Antiqua" w:cs="Times New Roman"/>
          <w:i/>
          <w:iCs/>
          <w:szCs w:val="20"/>
        </w:rPr>
        <w:t xml:space="preserve">LUMA Energy, LLC </w:t>
      </w:r>
      <w:r w:rsidRPr="00D46593">
        <w:rPr>
          <w:rFonts w:ascii="Book Antiqua" w:eastAsia="Times New Roman" w:hAnsi="Book Antiqua" w:cs="Times New Roman"/>
          <w:szCs w:val="20"/>
        </w:rPr>
        <w:t>tendrán discreción para reducir, retrasar o negar la aplicación del crédito establecido en la presente legislación.</w:t>
      </w:r>
    </w:p>
    <w:p w14:paraId="08286F48" w14:textId="5E65F440" w:rsidR="009A2960" w:rsidRPr="00D46593" w:rsidRDefault="009A2960" w:rsidP="009A2960">
      <w:pPr>
        <w:spacing w:line="480" w:lineRule="auto"/>
        <w:ind w:firstLine="708"/>
        <w:rPr>
          <w:rFonts w:ascii="Book Antiqua" w:eastAsia="Times New Roman" w:hAnsi="Book Antiqua" w:cs="Times New Roman"/>
          <w:szCs w:val="20"/>
          <w:lang w:eastAsia="x-none"/>
        </w:rPr>
      </w:pPr>
      <w:r w:rsidRPr="00D46593">
        <w:rPr>
          <w:rFonts w:ascii="Book Antiqua" w:eastAsia="Times New Roman" w:hAnsi="Book Antiqua" w:cs="Times New Roman"/>
          <w:szCs w:val="20"/>
          <w:lang w:eastAsia="x-none"/>
        </w:rPr>
        <w:t xml:space="preserve">Tanto </w:t>
      </w:r>
      <w:r w:rsidR="003879C8" w:rsidRPr="00D46593">
        <w:rPr>
          <w:rFonts w:ascii="Book Antiqua" w:eastAsia="Times New Roman" w:hAnsi="Book Antiqua" w:cs="Times New Roman"/>
          <w:szCs w:val="20"/>
          <w:lang w:eastAsia="x-none"/>
        </w:rPr>
        <w:t>la promulgación del</w:t>
      </w:r>
      <w:r w:rsidRPr="00D46593">
        <w:rPr>
          <w:rFonts w:ascii="Book Antiqua" w:eastAsia="Times New Roman" w:hAnsi="Book Antiqua" w:cs="Times New Roman"/>
          <w:szCs w:val="20"/>
          <w:lang w:eastAsia="x-none"/>
        </w:rPr>
        <w:t xml:space="preserve"> procedimiento aquí comendado como la aprobación de su correspondiente reglamento deberán cumplir con las exigencias mínimas del debido proceso de ley y demás exigencias que se establecen en la Ley Núm. 38-2017, Ley de Procedimiento Administrativo Uniforme del Gobierno de Puerto Rico, según enmendada</w:t>
      </w:r>
      <w:r w:rsidR="00A72220" w:rsidRPr="00D46593">
        <w:rPr>
          <w:rFonts w:ascii="Book Antiqua" w:eastAsia="Times New Roman" w:hAnsi="Book Antiqua" w:cs="Times New Roman"/>
          <w:szCs w:val="20"/>
          <w:lang w:eastAsia="x-none"/>
        </w:rPr>
        <w:t xml:space="preserve">; así como con el estándar establecido </w:t>
      </w:r>
      <w:r w:rsidR="00A72220" w:rsidRPr="00D46593">
        <w:rPr>
          <w:rFonts w:ascii="Book Antiqua" w:hAnsi="Book Antiqua"/>
          <w:color w:val="000000"/>
          <w:szCs w:val="24"/>
          <w:shd w:val="clear" w:color="auto" w:fill="FFFFFF"/>
        </w:rPr>
        <w:t xml:space="preserve">por el Tribunal Supremo de los Estados Unidos en </w:t>
      </w:r>
      <w:r w:rsidR="00A72220" w:rsidRPr="00D46593">
        <w:rPr>
          <w:rFonts w:ascii="Book Antiqua" w:hAnsi="Book Antiqua"/>
          <w:i/>
          <w:color w:val="000000"/>
          <w:szCs w:val="24"/>
          <w:shd w:val="clear" w:color="auto" w:fill="FFFFFF"/>
        </w:rPr>
        <w:t xml:space="preserve">Memphis Light, Gas and </w:t>
      </w:r>
      <w:proofErr w:type="spellStart"/>
      <w:r w:rsidR="00A72220" w:rsidRPr="00D46593">
        <w:rPr>
          <w:rFonts w:ascii="Book Antiqua" w:hAnsi="Book Antiqua"/>
          <w:i/>
          <w:color w:val="000000"/>
          <w:szCs w:val="24"/>
          <w:shd w:val="clear" w:color="auto" w:fill="FFFFFF"/>
        </w:rPr>
        <w:t>Water</w:t>
      </w:r>
      <w:proofErr w:type="spellEnd"/>
      <w:r w:rsidR="00A72220" w:rsidRPr="00D46593">
        <w:rPr>
          <w:rFonts w:ascii="Book Antiqua" w:hAnsi="Book Antiqua"/>
          <w:i/>
          <w:color w:val="000000"/>
          <w:szCs w:val="24"/>
          <w:shd w:val="clear" w:color="auto" w:fill="FFFFFF"/>
        </w:rPr>
        <w:t xml:space="preserve"> </w:t>
      </w:r>
      <w:proofErr w:type="spellStart"/>
      <w:r w:rsidR="00A72220" w:rsidRPr="00D46593">
        <w:rPr>
          <w:rFonts w:ascii="Book Antiqua" w:hAnsi="Book Antiqua"/>
          <w:i/>
          <w:color w:val="000000"/>
          <w:szCs w:val="24"/>
          <w:shd w:val="clear" w:color="auto" w:fill="FFFFFF"/>
        </w:rPr>
        <w:t>Division</w:t>
      </w:r>
      <w:proofErr w:type="spellEnd"/>
      <w:r w:rsidR="00A72220" w:rsidRPr="00D46593">
        <w:rPr>
          <w:rFonts w:ascii="Book Antiqua" w:hAnsi="Book Antiqua"/>
          <w:i/>
          <w:color w:val="000000"/>
          <w:szCs w:val="24"/>
          <w:shd w:val="clear" w:color="auto" w:fill="FFFFFF"/>
        </w:rPr>
        <w:t xml:space="preserve"> vs </w:t>
      </w:r>
      <w:proofErr w:type="spellStart"/>
      <w:r w:rsidR="00A72220" w:rsidRPr="00D46593">
        <w:rPr>
          <w:rFonts w:ascii="Book Antiqua" w:hAnsi="Book Antiqua"/>
          <w:i/>
          <w:color w:val="000000"/>
          <w:szCs w:val="24"/>
          <w:shd w:val="clear" w:color="auto" w:fill="FFFFFF"/>
        </w:rPr>
        <w:t>Craft</w:t>
      </w:r>
      <w:proofErr w:type="spellEnd"/>
      <w:r w:rsidR="00A72220" w:rsidRPr="00D46593">
        <w:rPr>
          <w:rFonts w:ascii="Book Antiqua" w:hAnsi="Book Antiqua"/>
          <w:color w:val="000000"/>
          <w:szCs w:val="24"/>
          <w:shd w:val="clear" w:color="auto" w:fill="FFFFFF"/>
        </w:rPr>
        <w:t>,</w:t>
      </w:r>
      <w:r w:rsidR="00A72220" w:rsidRPr="00D46593">
        <w:rPr>
          <w:rStyle w:val="apple-converted-space"/>
          <w:rFonts w:ascii="Book Antiqua" w:hAnsi="Book Antiqua"/>
          <w:color w:val="000000"/>
          <w:szCs w:val="24"/>
          <w:shd w:val="clear" w:color="auto" w:fill="FFFFFF"/>
        </w:rPr>
        <w:t> </w:t>
      </w:r>
      <w:r w:rsidR="00A72220" w:rsidRPr="00D46593">
        <w:rPr>
          <w:rFonts w:ascii="Book Antiqua" w:hAnsi="Book Antiqua" w:cs="Tahoma"/>
          <w:szCs w:val="24"/>
          <w:shd w:val="clear" w:color="auto" w:fill="FFFFFF"/>
        </w:rPr>
        <w:t>436 US 1</w:t>
      </w:r>
      <w:r w:rsidR="00A72220" w:rsidRPr="00D46593">
        <w:rPr>
          <w:rStyle w:val="apple-converted-space"/>
          <w:rFonts w:ascii="Book Antiqua" w:hAnsi="Book Antiqua"/>
          <w:color w:val="000000"/>
          <w:szCs w:val="24"/>
          <w:shd w:val="clear" w:color="auto" w:fill="FFFFFF"/>
        </w:rPr>
        <w:t> </w:t>
      </w:r>
      <w:r w:rsidR="00A72220" w:rsidRPr="00D46593">
        <w:rPr>
          <w:rFonts w:ascii="Book Antiqua" w:hAnsi="Book Antiqua"/>
          <w:color w:val="000000"/>
          <w:szCs w:val="24"/>
          <w:shd w:val="clear" w:color="auto" w:fill="FFFFFF"/>
        </w:rPr>
        <w:t>(1978).</w:t>
      </w:r>
    </w:p>
    <w:p w14:paraId="29890144" w14:textId="1404D3A4" w:rsidR="009A2960" w:rsidRPr="00D46593" w:rsidRDefault="009A2960" w:rsidP="00542156">
      <w:pPr>
        <w:spacing w:line="480" w:lineRule="auto"/>
        <w:ind w:firstLine="708"/>
        <w:rPr>
          <w:rFonts w:ascii="Book Antiqua" w:eastAsia="Times New Roman" w:hAnsi="Book Antiqua" w:cs="Times New Roman"/>
          <w:szCs w:val="20"/>
          <w:lang w:eastAsia="x-none"/>
        </w:rPr>
      </w:pPr>
      <w:r w:rsidRPr="00D46593">
        <w:rPr>
          <w:rFonts w:ascii="Book Antiqua" w:eastAsia="Times New Roman" w:hAnsi="Book Antiqua" w:cs="Times New Roman"/>
          <w:szCs w:val="24"/>
          <w:lang w:eastAsia="x-none"/>
        </w:rPr>
        <w:t xml:space="preserve">El reglamento estableciendo </w:t>
      </w:r>
      <w:r w:rsidRPr="00D46593">
        <w:rPr>
          <w:rFonts w:ascii="Book Antiqua" w:eastAsia="Times New Roman" w:hAnsi="Book Antiqua" w:cs="Times New Roman"/>
          <w:szCs w:val="20"/>
          <w:lang w:eastAsia="x-none"/>
        </w:rPr>
        <w:t>un procedimiento uniforme para la otorgación del crédito automático sobre enseres, equipo o electrodomésticos dañados a causa de apagones o bajas en el voltaje del sistema eléctrico del País</w:t>
      </w:r>
      <w:r w:rsidRPr="00D46593">
        <w:rPr>
          <w:rFonts w:ascii="Book Antiqua" w:eastAsia="Times New Roman" w:hAnsi="Book Antiqua" w:cs="Times New Roman"/>
          <w:szCs w:val="24"/>
          <w:lang w:eastAsia="x-none"/>
        </w:rPr>
        <w:t xml:space="preserve"> debe ser aprobado por la </w:t>
      </w:r>
      <w:r w:rsidRPr="00D46593">
        <w:rPr>
          <w:rFonts w:ascii="Book Antiqua" w:eastAsia="Times New Roman" w:hAnsi="Book Antiqua" w:cs="Times New Roman"/>
          <w:szCs w:val="20"/>
          <w:lang w:eastAsia="x-none"/>
        </w:rPr>
        <w:t>Autoridad de Energía Eléctrica</w:t>
      </w:r>
      <w:r w:rsidRPr="00D46593">
        <w:rPr>
          <w:rFonts w:ascii="Book Antiqua" w:eastAsia="Times New Roman" w:hAnsi="Book Antiqua" w:cs="Times New Roman"/>
          <w:szCs w:val="24"/>
          <w:lang w:eastAsia="x-none"/>
        </w:rPr>
        <w:t xml:space="preserve"> dentro de los noventa (90) días siguientes a la fecha de aprobación de esta ley.</w:t>
      </w:r>
    </w:p>
    <w:p w14:paraId="7F55CC1F" w14:textId="2B73756C" w:rsidR="00542156" w:rsidRPr="00D46593" w:rsidRDefault="00542156" w:rsidP="009A2960">
      <w:pPr>
        <w:spacing w:line="480" w:lineRule="auto"/>
        <w:ind w:firstLine="708"/>
        <w:rPr>
          <w:rFonts w:ascii="Book Antiqua" w:eastAsia="Times New Roman" w:hAnsi="Book Antiqua" w:cs="Times New Roman"/>
          <w:szCs w:val="20"/>
          <w:lang w:eastAsia="x-none"/>
        </w:rPr>
      </w:pPr>
      <w:r w:rsidRPr="00D46593">
        <w:rPr>
          <w:rFonts w:ascii="Book Antiqua" w:eastAsia="Times New Roman" w:hAnsi="Book Antiqua" w:cs="Times New Roman"/>
          <w:bCs/>
          <w:color w:val="000000" w:themeColor="text1"/>
          <w:szCs w:val="24"/>
        </w:rPr>
        <w:t>Artículo 2.- Estimados de daños con valor mayor a trescientos dólares ($300.00)</w:t>
      </w:r>
    </w:p>
    <w:p w14:paraId="387876CD" w14:textId="7EABEDC1" w:rsidR="005254F3" w:rsidRPr="00D46593" w:rsidRDefault="009A2960" w:rsidP="005254F3">
      <w:pPr>
        <w:spacing w:line="480" w:lineRule="auto"/>
        <w:ind w:firstLine="708"/>
        <w:rPr>
          <w:rFonts w:ascii="Book Antiqua" w:eastAsia="Times New Roman" w:hAnsi="Book Antiqua" w:cs="Times New Roman"/>
          <w:szCs w:val="20"/>
          <w:lang w:eastAsia="x-none"/>
        </w:rPr>
      </w:pPr>
      <w:r w:rsidRPr="00D46593">
        <w:rPr>
          <w:rFonts w:ascii="Book Antiqua" w:eastAsia="Times New Roman" w:hAnsi="Book Antiqua" w:cs="Times New Roman"/>
          <w:szCs w:val="20"/>
          <w:lang w:eastAsia="x-none"/>
        </w:rPr>
        <w:t>En aquellas instancias en las que el costo de sustitución o reparación del enser, electrodoméstico, o equipo, dañado a causa de apagones o bajas en el voltaje del sistema eléctrico del País, supere el valor de trescientos dólares ($300.00)</w:t>
      </w:r>
      <w:r w:rsidR="005018CE" w:rsidRPr="00D46593">
        <w:rPr>
          <w:rFonts w:ascii="Book Antiqua" w:eastAsia="Times New Roman" w:hAnsi="Book Antiqua" w:cs="Times New Roman"/>
          <w:szCs w:val="20"/>
          <w:lang w:eastAsia="x-none"/>
        </w:rPr>
        <w:t>,</w:t>
      </w:r>
      <w:r w:rsidRPr="00D46593">
        <w:rPr>
          <w:rFonts w:ascii="Book Antiqua" w:eastAsia="Times New Roman" w:hAnsi="Book Antiqua" w:cs="Times New Roman"/>
          <w:szCs w:val="20"/>
          <w:lang w:eastAsia="x-none"/>
        </w:rPr>
        <w:t xml:space="preserve"> según</w:t>
      </w:r>
      <w:r w:rsidR="005018CE" w:rsidRPr="00D46593">
        <w:rPr>
          <w:rFonts w:ascii="Book Antiqua" w:eastAsia="Times New Roman" w:hAnsi="Book Antiqua" w:cs="Times New Roman"/>
          <w:szCs w:val="20"/>
          <w:lang w:eastAsia="x-none"/>
        </w:rPr>
        <w:t xml:space="preserve"> certificación y</w:t>
      </w:r>
      <w:r w:rsidRPr="00D46593">
        <w:rPr>
          <w:rFonts w:ascii="Book Antiqua" w:eastAsia="Times New Roman" w:hAnsi="Book Antiqua" w:cs="Times New Roman"/>
          <w:szCs w:val="20"/>
          <w:lang w:eastAsia="x-none"/>
        </w:rPr>
        <w:t xml:space="preserve"> estimado de perito electricista debidamente colegiado, licenciado, y autorizado a ejercer su profesión en la jurisdicción del Estado Libre Asociado de Puerto Rico, se ordena a la Autoridad de Energía Eléctrica</w:t>
      </w:r>
      <w:r w:rsidR="00B44DC6" w:rsidRPr="00D46593">
        <w:rPr>
          <w:rFonts w:ascii="Book Antiqua" w:eastAsia="Times New Roman" w:hAnsi="Book Antiqua" w:cs="Times New Roman"/>
          <w:szCs w:val="20"/>
          <w:lang w:eastAsia="x-none"/>
        </w:rPr>
        <w:t xml:space="preserve">, </w:t>
      </w:r>
      <w:r w:rsidR="00B44DC6" w:rsidRPr="00D46593">
        <w:rPr>
          <w:rFonts w:ascii="Book Antiqua" w:eastAsia="Times New Roman" w:hAnsi="Book Antiqua" w:cs="Times New Roman"/>
          <w:color w:val="000000" w:themeColor="text1"/>
          <w:szCs w:val="24"/>
        </w:rPr>
        <w:t xml:space="preserve">, incluyendo a su ente administrador </w:t>
      </w:r>
      <w:r w:rsidR="00B44DC6" w:rsidRPr="00D46593">
        <w:rPr>
          <w:rFonts w:ascii="Book Antiqua" w:eastAsia="Times New Roman" w:hAnsi="Book Antiqua" w:cs="Arial"/>
          <w:i/>
          <w:color w:val="222222"/>
          <w:szCs w:val="24"/>
        </w:rPr>
        <w:t xml:space="preserve">LUMA Energy, LLC </w:t>
      </w:r>
      <w:r w:rsidR="00B44DC6" w:rsidRPr="00D46593">
        <w:rPr>
          <w:rFonts w:ascii="Book Antiqua" w:eastAsia="Times New Roman" w:hAnsi="Book Antiqua" w:cs="Arial"/>
          <w:iCs/>
          <w:color w:val="222222"/>
          <w:szCs w:val="24"/>
        </w:rPr>
        <w:t>y</w:t>
      </w:r>
      <w:r w:rsidR="00B44DC6" w:rsidRPr="00D46593">
        <w:rPr>
          <w:rFonts w:ascii="Book Antiqua" w:eastAsia="Times New Roman" w:hAnsi="Book Antiqua" w:cs="Arial"/>
          <w:i/>
          <w:color w:val="222222"/>
          <w:szCs w:val="24"/>
        </w:rPr>
        <w:t xml:space="preserve"> LUMA </w:t>
      </w:r>
      <w:proofErr w:type="spellStart"/>
      <w:r w:rsidR="00B44DC6" w:rsidRPr="00D46593">
        <w:rPr>
          <w:rFonts w:ascii="Book Antiqua" w:eastAsia="Times New Roman" w:hAnsi="Book Antiqua" w:cs="Arial"/>
          <w:i/>
          <w:color w:val="222222"/>
          <w:szCs w:val="24"/>
        </w:rPr>
        <w:t>Energy</w:t>
      </w:r>
      <w:proofErr w:type="spellEnd"/>
      <w:r w:rsidR="00B44DC6" w:rsidRPr="00D46593">
        <w:rPr>
          <w:rFonts w:ascii="Book Antiqua" w:eastAsia="Times New Roman" w:hAnsi="Book Antiqua" w:cs="Arial"/>
          <w:i/>
          <w:color w:val="222222"/>
          <w:szCs w:val="24"/>
        </w:rPr>
        <w:t xml:space="preserve"> </w:t>
      </w:r>
      <w:proofErr w:type="spellStart"/>
      <w:r w:rsidR="00B44DC6" w:rsidRPr="00D46593">
        <w:rPr>
          <w:rFonts w:ascii="Book Antiqua" w:eastAsia="Times New Roman" w:hAnsi="Book Antiqua" w:cs="Arial"/>
          <w:i/>
          <w:color w:val="222222"/>
          <w:szCs w:val="24"/>
        </w:rPr>
        <w:t>Servco</w:t>
      </w:r>
      <w:proofErr w:type="spellEnd"/>
      <w:r w:rsidR="00B44DC6" w:rsidRPr="00D46593">
        <w:rPr>
          <w:rFonts w:ascii="Book Antiqua" w:eastAsia="Times New Roman" w:hAnsi="Book Antiqua" w:cs="Arial"/>
          <w:i/>
          <w:color w:val="222222"/>
          <w:szCs w:val="24"/>
        </w:rPr>
        <w:t xml:space="preserve">, LLC </w:t>
      </w:r>
      <w:r w:rsidR="00B44DC6" w:rsidRPr="00D46593">
        <w:rPr>
          <w:rFonts w:ascii="Book Antiqua" w:eastAsia="Times New Roman" w:hAnsi="Book Antiqua" w:cs="Arial"/>
          <w:iCs/>
          <w:color w:val="222222"/>
          <w:szCs w:val="24"/>
        </w:rPr>
        <w:t>y/o cualquier sucesora en derecho, subsidiaria</w:t>
      </w:r>
      <w:r w:rsidR="00B44DC6" w:rsidRPr="00D46593">
        <w:rPr>
          <w:rFonts w:ascii="Book Antiqua" w:eastAsia="Times New Roman" w:hAnsi="Book Antiqua" w:cs="Times New Roman"/>
          <w:color w:val="000000" w:themeColor="text1"/>
          <w:szCs w:val="24"/>
        </w:rPr>
        <w:t>, o administradora,</w:t>
      </w:r>
      <w:r w:rsidRPr="00D46593">
        <w:rPr>
          <w:rFonts w:ascii="Book Antiqua" w:eastAsia="Times New Roman" w:hAnsi="Book Antiqua" w:cs="Times New Roman"/>
          <w:szCs w:val="20"/>
          <w:lang w:eastAsia="x-none"/>
        </w:rPr>
        <w:t xml:space="preserve"> a aprobar un reglamento que establezca un procedimiento uniforme para adjudicar la procedencia o improcedencia del reclamo de</w:t>
      </w:r>
      <w:r w:rsidR="00542156" w:rsidRPr="00D46593">
        <w:rPr>
          <w:rFonts w:ascii="Book Antiqua" w:eastAsia="Times New Roman" w:hAnsi="Book Antiqua" w:cs="Times New Roman"/>
          <w:szCs w:val="20"/>
          <w:lang w:eastAsia="x-none"/>
        </w:rPr>
        <w:t xml:space="preserve"> reembolso y/o</w:t>
      </w:r>
      <w:r w:rsidRPr="00D46593">
        <w:rPr>
          <w:rFonts w:ascii="Book Antiqua" w:eastAsia="Times New Roman" w:hAnsi="Book Antiqua" w:cs="Times New Roman"/>
          <w:szCs w:val="20"/>
          <w:lang w:eastAsia="x-none"/>
        </w:rPr>
        <w:t xml:space="preserve"> crédito del cliente o abonado, residencial o comercial. </w:t>
      </w:r>
    </w:p>
    <w:p w14:paraId="41DD849E" w14:textId="5071AB1B" w:rsidR="005254F3" w:rsidRPr="00D46593" w:rsidRDefault="005254F3" w:rsidP="005254F3">
      <w:pPr>
        <w:spacing w:line="480" w:lineRule="auto"/>
        <w:ind w:firstLine="708"/>
        <w:rPr>
          <w:rFonts w:ascii="Book Antiqua" w:eastAsia="Times New Roman" w:hAnsi="Book Antiqua" w:cs="Times New Roman"/>
          <w:szCs w:val="20"/>
          <w:lang w:eastAsia="x-none"/>
        </w:rPr>
      </w:pPr>
      <w:r w:rsidRPr="00D46593">
        <w:rPr>
          <w:rFonts w:ascii="Book Antiqua" w:eastAsia="Times New Roman" w:hAnsi="Book Antiqua" w:cs="Times New Roman"/>
          <w:szCs w:val="20"/>
          <w:lang w:eastAsia="x-none"/>
        </w:rPr>
        <w:t xml:space="preserve">Sobre el crédito a ser otorgado se sumará la cuantía correspondiente al diez por ciento (10%) del mismo para cubrir los gastos de la reclamación de crédito presentada.  </w:t>
      </w:r>
    </w:p>
    <w:p w14:paraId="2FACC78B" w14:textId="0192680D" w:rsidR="005254F3" w:rsidRPr="00D46593" w:rsidRDefault="005254F3" w:rsidP="005254F3">
      <w:pPr>
        <w:spacing w:line="480" w:lineRule="auto"/>
        <w:ind w:firstLine="708"/>
        <w:rPr>
          <w:rFonts w:ascii="Book Antiqua" w:eastAsia="Times New Roman" w:hAnsi="Book Antiqua" w:cs="Times New Roman"/>
          <w:szCs w:val="20"/>
        </w:rPr>
      </w:pPr>
      <w:r w:rsidRPr="00D46593">
        <w:rPr>
          <w:rFonts w:ascii="Book Antiqua" w:eastAsia="Times New Roman" w:hAnsi="Book Antiqua" w:cs="Times New Roman"/>
          <w:szCs w:val="24"/>
        </w:rPr>
        <w:t>Si el cliente o abonado cumple con los requisitos</w:t>
      </w:r>
      <w:r w:rsidR="006946BF" w:rsidRPr="00D46593">
        <w:rPr>
          <w:rFonts w:ascii="Book Antiqua" w:eastAsia="Times New Roman" w:hAnsi="Book Antiqua" w:cs="Times New Roman"/>
          <w:szCs w:val="24"/>
        </w:rPr>
        <w:t xml:space="preserve"> de reclamo del reglamento a promulgarse</w:t>
      </w:r>
      <w:r w:rsidRPr="00D46593">
        <w:rPr>
          <w:rFonts w:ascii="Book Antiqua" w:eastAsia="Times New Roman" w:hAnsi="Book Antiqua" w:cs="Times New Roman"/>
          <w:szCs w:val="24"/>
        </w:rPr>
        <w:t xml:space="preserve">, ni la Autoridad de Energía Eléctrica ni </w:t>
      </w:r>
      <w:r w:rsidRPr="00D46593">
        <w:rPr>
          <w:rFonts w:ascii="Book Antiqua" w:eastAsia="Times New Roman" w:hAnsi="Book Antiqua" w:cs="Times New Roman"/>
          <w:i/>
          <w:iCs/>
          <w:szCs w:val="20"/>
        </w:rPr>
        <w:t xml:space="preserve">LUMA Energy, LLC </w:t>
      </w:r>
      <w:r w:rsidRPr="00D46593">
        <w:rPr>
          <w:rFonts w:ascii="Book Antiqua" w:eastAsia="Times New Roman" w:hAnsi="Book Antiqua" w:cs="Times New Roman"/>
          <w:szCs w:val="20"/>
        </w:rPr>
        <w:t xml:space="preserve">tendrán discreción para reducir, retrasar o negar la aplicación del crédito </w:t>
      </w:r>
      <w:r w:rsidR="006946BF" w:rsidRPr="00D46593">
        <w:rPr>
          <w:rFonts w:ascii="Book Antiqua" w:eastAsia="Times New Roman" w:hAnsi="Book Antiqua" w:cs="Times New Roman"/>
          <w:szCs w:val="20"/>
        </w:rPr>
        <w:t>reconocido</w:t>
      </w:r>
      <w:r w:rsidRPr="00D46593">
        <w:rPr>
          <w:rFonts w:ascii="Book Antiqua" w:eastAsia="Times New Roman" w:hAnsi="Book Antiqua" w:cs="Times New Roman"/>
          <w:szCs w:val="20"/>
        </w:rPr>
        <w:t xml:space="preserve"> en la presente legislación.</w:t>
      </w:r>
    </w:p>
    <w:p w14:paraId="0096163B" w14:textId="2ADC98FA" w:rsidR="009A2960" w:rsidRPr="00D46593" w:rsidRDefault="009A2960" w:rsidP="009A2960">
      <w:pPr>
        <w:spacing w:line="480" w:lineRule="auto"/>
        <w:ind w:firstLine="708"/>
        <w:rPr>
          <w:rFonts w:ascii="Book Antiqua" w:eastAsia="Times New Roman" w:hAnsi="Book Antiqua" w:cs="Times New Roman"/>
          <w:szCs w:val="20"/>
          <w:lang w:eastAsia="x-none"/>
        </w:rPr>
      </w:pPr>
      <w:r w:rsidRPr="00D46593">
        <w:rPr>
          <w:rFonts w:ascii="Book Antiqua" w:eastAsia="Times New Roman" w:hAnsi="Book Antiqua" w:cs="Times New Roman"/>
          <w:szCs w:val="20"/>
          <w:lang w:eastAsia="x-none"/>
        </w:rPr>
        <w:t xml:space="preserve">Tanto </w:t>
      </w:r>
      <w:r w:rsidR="003879C8" w:rsidRPr="00D46593">
        <w:rPr>
          <w:rFonts w:ascii="Book Antiqua" w:eastAsia="Times New Roman" w:hAnsi="Book Antiqua" w:cs="Times New Roman"/>
          <w:szCs w:val="20"/>
          <w:lang w:eastAsia="x-none"/>
        </w:rPr>
        <w:t>la promulgación del</w:t>
      </w:r>
      <w:r w:rsidRPr="00D46593">
        <w:rPr>
          <w:rFonts w:ascii="Book Antiqua" w:eastAsia="Times New Roman" w:hAnsi="Book Antiqua" w:cs="Times New Roman"/>
          <w:szCs w:val="20"/>
          <w:lang w:eastAsia="x-none"/>
        </w:rPr>
        <w:t xml:space="preserve"> procedimiento aquí comendado como la aprobación de su correspondiente reglamento deberán cumplir con las exigencias mínimas del debido proceso de ley y demás exigencias que se establecen en la Ley Núm. 38-2017, Ley de Procedimiento Administrativo Uniforme del Gobierno de Puerto Rico, según enmendada</w:t>
      </w:r>
      <w:r w:rsidR="00A72220" w:rsidRPr="00D46593">
        <w:rPr>
          <w:rFonts w:ascii="Book Antiqua" w:eastAsia="Times New Roman" w:hAnsi="Book Antiqua" w:cs="Times New Roman"/>
          <w:szCs w:val="20"/>
          <w:lang w:eastAsia="x-none"/>
        </w:rPr>
        <w:t xml:space="preserve">; así como con el estándar establecido </w:t>
      </w:r>
      <w:r w:rsidR="00A72220" w:rsidRPr="00D46593">
        <w:rPr>
          <w:rFonts w:ascii="Book Antiqua" w:hAnsi="Book Antiqua"/>
          <w:color w:val="000000"/>
          <w:szCs w:val="24"/>
          <w:shd w:val="clear" w:color="auto" w:fill="FFFFFF"/>
        </w:rPr>
        <w:t xml:space="preserve">por el Tribunal Supremo de los Estados Unidos en </w:t>
      </w:r>
      <w:r w:rsidR="00A72220" w:rsidRPr="00D46593">
        <w:rPr>
          <w:rFonts w:ascii="Book Antiqua" w:hAnsi="Book Antiqua"/>
          <w:i/>
          <w:color w:val="000000"/>
          <w:szCs w:val="24"/>
          <w:shd w:val="clear" w:color="auto" w:fill="FFFFFF"/>
        </w:rPr>
        <w:t xml:space="preserve">Memphis Light, Gas and </w:t>
      </w:r>
      <w:proofErr w:type="spellStart"/>
      <w:r w:rsidR="00A72220" w:rsidRPr="00D46593">
        <w:rPr>
          <w:rFonts w:ascii="Book Antiqua" w:hAnsi="Book Antiqua"/>
          <w:i/>
          <w:color w:val="000000"/>
          <w:szCs w:val="24"/>
          <w:shd w:val="clear" w:color="auto" w:fill="FFFFFF"/>
        </w:rPr>
        <w:t>Water</w:t>
      </w:r>
      <w:proofErr w:type="spellEnd"/>
      <w:r w:rsidR="00A72220" w:rsidRPr="00D46593">
        <w:rPr>
          <w:rFonts w:ascii="Book Antiqua" w:hAnsi="Book Antiqua"/>
          <w:i/>
          <w:color w:val="000000"/>
          <w:szCs w:val="24"/>
          <w:shd w:val="clear" w:color="auto" w:fill="FFFFFF"/>
        </w:rPr>
        <w:t xml:space="preserve"> </w:t>
      </w:r>
      <w:proofErr w:type="spellStart"/>
      <w:r w:rsidR="00A72220" w:rsidRPr="00D46593">
        <w:rPr>
          <w:rFonts w:ascii="Book Antiqua" w:hAnsi="Book Antiqua"/>
          <w:i/>
          <w:color w:val="000000"/>
          <w:szCs w:val="24"/>
          <w:shd w:val="clear" w:color="auto" w:fill="FFFFFF"/>
        </w:rPr>
        <w:t>Division</w:t>
      </w:r>
      <w:proofErr w:type="spellEnd"/>
      <w:r w:rsidR="00A72220" w:rsidRPr="00D46593">
        <w:rPr>
          <w:rFonts w:ascii="Book Antiqua" w:hAnsi="Book Antiqua"/>
          <w:i/>
          <w:color w:val="000000"/>
          <w:szCs w:val="24"/>
          <w:shd w:val="clear" w:color="auto" w:fill="FFFFFF"/>
        </w:rPr>
        <w:t xml:space="preserve"> vs </w:t>
      </w:r>
      <w:proofErr w:type="spellStart"/>
      <w:r w:rsidR="00A72220" w:rsidRPr="00D46593">
        <w:rPr>
          <w:rFonts w:ascii="Book Antiqua" w:hAnsi="Book Antiqua"/>
          <w:i/>
          <w:color w:val="000000"/>
          <w:szCs w:val="24"/>
          <w:shd w:val="clear" w:color="auto" w:fill="FFFFFF"/>
        </w:rPr>
        <w:t>Craft</w:t>
      </w:r>
      <w:proofErr w:type="spellEnd"/>
      <w:r w:rsidR="00A72220" w:rsidRPr="00D46593">
        <w:rPr>
          <w:rFonts w:ascii="Book Antiqua" w:hAnsi="Book Antiqua"/>
          <w:color w:val="000000"/>
          <w:szCs w:val="24"/>
          <w:shd w:val="clear" w:color="auto" w:fill="FFFFFF"/>
        </w:rPr>
        <w:t>,</w:t>
      </w:r>
      <w:r w:rsidR="00A72220" w:rsidRPr="00D46593">
        <w:rPr>
          <w:rStyle w:val="apple-converted-space"/>
          <w:rFonts w:ascii="Book Antiqua" w:hAnsi="Book Antiqua"/>
          <w:color w:val="000000"/>
          <w:szCs w:val="24"/>
          <w:shd w:val="clear" w:color="auto" w:fill="FFFFFF"/>
        </w:rPr>
        <w:t> </w:t>
      </w:r>
      <w:r w:rsidR="00A72220" w:rsidRPr="00D46593">
        <w:rPr>
          <w:rFonts w:ascii="Book Antiqua" w:hAnsi="Book Antiqua" w:cs="Tahoma"/>
          <w:szCs w:val="24"/>
          <w:shd w:val="clear" w:color="auto" w:fill="FFFFFF"/>
        </w:rPr>
        <w:t>436 US 1</w:t>
      </w:r>
      <w:r w:rsidR="00A72220" w:rsidRPr="00D46593">
        <w:rPr>
          <w:rStyle w:val="apple-converted-space"/>
          <w:rFonts w:ascii="Book Antiqua" w:hAnsi="Book Antiqua"/>
          <w:color w:val="000000"/>
          <w:szCs w:val="24"/>
          <w:shd w:val="clear" w:color="auto" w:fill="FFFFFF"/>
        </w:rPr>
        <w:t> </w:t>
      </w:r>
      <w:r w:rsidR="00A72220" w:rsidRPr="00D46593">
        <w:rPr>
          <w:rFonts w:ascii="Book Antiqua" w:hAnsi="Book Antiqua"/>
          <w:color w:val="000000"/>
          <w:szCs w:val="24"/>
          <w:shd w:val="clear" w:color="auto" w:fill="FFFFFF"/>
        </w:rPr>
        <w:t>(1978).</w:t>
      </w:r>
    </w:p>
    <w:p w14:paraId="10C225C1" w14:textId="29C38E5E" w:rsidR="009A2960" w:rsidRPr="00D46593" w:rsidRDefault="009A2960" w:rsidP="009A2960">
      <w:pPr>
        <w:spacing w:line="480" w:lineRule="auto"/>
        <w:ind w:firstLine="708"/>
        <w:rPr>
          <w:rFonts w:ascii="Book Antiqua" w:eastAsia="Times New Roman" w:hAnsi="Book Antiqua" w:cs="Times New Roman"/>
          <w:szCs w:val="20"/>
          <w:lang w:eastAsia="x-none"/>
        </w:rPr>
      </w:pPr>
      <w:r w:rsidRPr="00D46593">
        <w:rPr>
          <w:rFonts w:ascii="Book Antiqua" w:eastAsia="Times New Roman" w:hAnsi="Book Antiqua" w:cs="Times New Roman"/>
          <w:szCs w:val="24"/>
          <w:lang w:eastAsia="x-none"/>
        </w:rPr>
        <w:t xml:space="preserve">El reglamento estableciendo </w:t>
      </w:r>
      <w:r w:rsidRPr="00D46593">
        <w:rPr>
          <w:rFonts w:ascii="Book Antiqua" w:eastAsia="Times New Roman" w:hAnsi="Book Antiqua" w:cs="Times New Roman"/>
          <w:szCs w:val="20"/>
          <w:lang w:eastAsia="x-none"/>
        </w:rPr>
        <w:t xml:space="preserve">un procedimiento uniforme para la otorgación </w:t>
      </w:r>
      <w:r w:rsidR="006338EC" w:rsidRPr="00D46593">
        <w:rPr>
          <w:rFonts w:ascii="Book Antiqua" w:eastAsia="Times New Roman" w:hAnsi="Book Antiqua" w:cs="Times New Roman"/>
          <w:szCs w:val="20"/>
          <w:lang w:eastAsia="x-none"/>
        </w:rPr>
        <w:t>de créditos</w:t>
      </w:r>
      <w:r w:rsidRPr="00D46593">
        <w:rPr>
          <w:rFonts w:ascii="Book Antiqua" w:eastAsia="Times New Roman" w:hAnsi="Book Antiqua" w:cs="Times New Roman"/>
          <w:szCs w:val="20"/>
          <w:lang w:eastAsia="x-none"/>
        </w:rPr>
        <w:t xml:space="preserve"> por valor superior a los trescientos dólares ($300.00) por enseres, equipo o electrodomésticos dañados a causa de apagones o bajas en el voltaje del sistema eléctrico del País</w:t>
      </w:r>
      <w:r w:rsidRPr="00D46593">
        <w:rPr>
          <w:rFonts w:ascii="Book Antiqua" w:eastAsia="Times New Roman" w:hAnsi="Book Antiqua" w:cs="Times New Roman"/>
          <w:szCs w:val="24"/>
          <w:lang w:eastAsia="x-none"/>
        </w:rPr>
        <w:t xml:space="preserve"> debe ser aprobado por la </w:t>
      </w:r>
      <w:r w:rsidRPr="00D46593">
        <w:rPr>
          <w:rFonts w:ascii="Book Antiqua" w:eastAsia="Times New Roman" w:hAnsi="Book Antiqua" w:cs="Times New Roman"/>
          <w:szCs w:val="20"/>
          <w:lang w:eastAsia="x-none"/>
        </w:rPr>
        <w:t>Autoridad de Energía Eléctrica</w:t>
      </w:r>
      <w:r w:rsidRPr="00D46593">
        <w:rPr>
          <w:rFonts w:ascii="Book Antiqua" w:eastAsia="Times New Roman" w:hAnsi="Book Antiqua" w:cs="Times New Roman"/>
          <w:szCs w:val="24"/>
          <w:lang w:eastAsia="x-none"/>
        </w:rPr>
        <w:t xml:space="preserve"> dentro de los noventa (90) días siguientes a la fecha de aprobación de esta ley.</w:t>
      </w:r>
    </w:p>
    <w:bookmarkEnd w:id="2"/>
    <w:p w14:paraId="01005E21" w14:textId="77777777" w:rsidR="00BD7A89" w:rsidRPr="00D46593" w:rsidRDefault="00BD7A89" w:rsidP="00BD7A89">
      <w:pPr>
        <w:spacing w:line="480" w:lineRule="auto"/>
        <w:ind w:firstLine="708"/>
        <w:rPr>
          <w:rFonts w:ascii="Book Antiqua" w:hAnsi="Book Antiqua"/>
          <w:color w:val="000000" w:themeColor="text1"/>
          <w:szCs w:val="24"/>
        </w:rPr>
      </w:pPr>
      <w:r w:rsidRPr="00D46593">
        <w:rPr>
          <w:rFonts w:ascii="Book Antiqua" w:eastAsia="Calibri" w:hAnsi="Book Antiqua" w:cs="Times New Roman"/>
          <w:color w:val="000000" w:themeColor="text1"/>
          <w:szCs w:val="24"/>
        </w:rPr>
        <w:t xml:space="preserve">Artículo 8.-Separabilidad </w:t>
      </w:r>
    </w:p>
    <w:p w14:paraId="0627B91C" w14:textId="77777777" w:rsidR="00BD7A89" w:rsidRPr="00D46593" w:rsidRDefault="00BD7A89" w:rsidP="00BD7A89">
      <w:pPr>
        <w:spacing w:line="480" w:lineRule="auto"/>
        <w:ind w:firstLine="720"/>
        <w:rPr>
          <w:rFonts w:ascii="Book Antiqua" w:eastAsia="Calibri" w:hAnsi="Book Antiqua" w:cs="Times New Roman"/>
          <w:color w:val="000000" w:themeColor="text1"/>
          <w:szCs w:val="24"/>
        </w:rPr>
      </w:pPr>
      <w:r w:rsidRPr="00D46593">
        <w:rPr>
          <w:rFonts w:ascii="Book Antiqua" w:eastAsia="Calibri" w:hAnsi="Book Antiqua" w:cs="Times New Roman"/>
          <w:color w:val="000000" w:themeColor="text1"/>
          <w:szCs w:val="24"/>
        </w:rPr>
        <w:t xml:space="preserve">Si cualquier parte, oración, inciso, cláusula, párrafo, subpárrafo, artículo, disposición, o sección de esta Ley fuere anulada o declarada inconstitucional por un tribunal competente, la sentencia a tal efecto dictada </w:t>
      </w:r>
      <w:r w:rsidRPr="00D46593">
        <w:rPr>
          <w:rFonts w:ascii="Book Antiqua" w:eastAsia="Times New Roman" w:hAnsi="Book Antiqua" w:cs="Times New Roman"/>
          <w:color w:val="000000" w:themeColor="text1"/>
          <w:szCs w:val="24"/>
        </w:rPr>
        <w:t xml:space="preserve">se limitará a la </w:t>
      </w:r>
      <w:r w:rsidRPr="00D46593">
        <w:rPr>
          <w:rFonts w:ascii="Book Antiqua" w:eastAsia="Calibri" w:hAnsi="Book Antiqua" w:cs="Times New Roman"/>
          <w:color w:val="000000" w:themeColor="text1"/>
          <w:szCs w:val="24"/>
        </w:rPr>
        <w:t>parte, oración, inciso, cláusula, párrafo, subpárrafo, artículo, disposición, o sección</w:t>
      </w:r>
      <w:r w:rsidRPr="00D46593">
        <w:rPr>
          <w:rFonts w:ascii="Book Antiqua" w:eastAsia="Times New Roman" w:hAnsi="Book Antiqua" w:cs="Times New Roman"/>
          <w:color w:val="000000" w:themeColor="text1"/>
          <w:szCs w:val="24"/>
        </w:rPr>
        <w:t xml:space="preserve"> anulada o declarada inconstitucional, y </w:t>
      </w:r>
      <w:r w:rsidRPr="00D46593">
        <w:rPr>
          <w:rFonts w:ascii="Book Antiqua" w:eastAsia="Calibri" w:hAnsi="Book Antiqua" w:cs="Times New Roman"/>
          <w:color w:val="000000" w:themeColor="text1"/>
          <w:szCs w:val="24"/>
        </w:rPr>
        <w:t xml:space="preserve">no afectará, perjudicará, ni invalidará el resto de esta Ley. </w:t>
      </w:r>
    </w:p>
    <w:p w14:paraId="3CF52597" w14:textId="77777777" w:rsidR="00BD7A89" w:rsidRPr="00D46593" w:rsidRDefault="00BD7A89" w:rsidP="00BD7A89">
      <w:pPr>
        <w:tabs>
          <w:tab w:val="left" w:pos="0"/>
          <w:tab w:val="left" w:pos="720"/>
          <w:tab w:val="left" w:pos="1440"/>
          <w:tab w:val="left" w:pos="2160"/>
          <w:tab w:val="left" w:pos="2880"/>
          <w:tab w:val="left" w:pos="3600"/>
          <w:tab w:val="left" w:pos="4320"/>
          <w:tab w:val="left" w:pos="5040"/>
          <w:tab w:val="left" w:pos="5760"/>
          <w:tab w:val="left" w:pos="7200"/>
        </w:tabs>
        <w:suppressAutoHyphens/>
        <w:spacing w:line="480" w:lineRule="auto"/>
        <w:rPr>
          <w:rFonts w:ascii="Book Antiqua" w:eastAsia="ヒラギノ角ゴ Pro W3" w:hAnsi="Book Antiqua" w:cs="Times New Roman"/>
          <w:color w:val="000000" w:themeColor="text1"/>
          <w:spacing w:val="-3"/>
          <w:szCs w:val="24"/>
        </w:rPr>
      </w:pPr>
      <w:r w:rsidRPr="00D46593">
        <w:rPr>
          <w:rFonts w:ascii="Book Antiqua" w:eastAsia="ヒラギノ角ゴ Pro W3" w:hAnsi="Book Antiqua" w:cs="Times New Roman"/>
          <w:color w:val="000000" w:themeColor="text1"/>
          <w:spacing w:val="-3"/>
          <w:szCs w:val="24"/>
        </w:rPr>
        <w:tab/>
        <w:t>Artículo 9.- Vigencia</w:t>
      </w:r>
    </w:p>
    <w:p w14:paraId="06A48D71" w14:textId="1A665924" w:rsidR="003879C8" w:rsidRPr="00D46593" w:rsidRDefault="00BD7A89" w:rsidP="00F93352">
      <w:pPr>
        <w:tabs>
          <w:tab w:val="left" w:pos="0"/>
          <w:tab w:val="left" w:pos="720"/>
          <w:tab w:val="left" w:pos="1440"/>
          <w:tab w:val="left" w:pos="2160"/>
          <w:tab w:val="left" w:pos="2880"/>
          <w:tab w:val="left" w:pos="3600"/>
          <w:tab w:val="left" w:pos="4320"/>
          <w:tab w:val="left" w:pos="5040"/>
          <w:tab w:val="left" w:pos="5760"/>
          <w:tab w:val="left" w:pos="7200"/>
        </w:tabs>
        <w:suppressAutoHyphens/>
        <w:spacing w:line="480" w:lineRule="auto"/>
        <w:rPr>
          <w:rFonts w:ascii="Book Antiqua" w:eastAsia="ヒラギノ角ゴ Pro W3" w:hAnsi="Book Antiqua" w:cs="Times New Roman"/>
          <w:color w:val="000000" w:themeColor="text1"/>
          <w:spacing w:val="-3"/>
          <w:szCs w:val="24"/>
        </w:rPr>
      </w:pPr>
      <w:r w:rsidRPr="00D46593">
        <w:rPr>
          <w:rFonts w:ascii="Book Antiqua" w:eastAsia="ヒラギノ角ゴ Pro W3" w:hAnsi="Book Antiqua" w:cs="Times New Roman"/>
          <w:color w:val="000000" w:themeColor="text1"/>
          <w:spacing w:val="-3"/>
          <w:szCs w:val="24"/>
        </w:rPr>
        <w:tab/>
        <w:t>Esta Ley comenzará a regir inmediatamente después de su aprobación</w:t>
      </w:r>
      <w:r w:rsidR="003879C8" w:rsidRPr="00D46593">
        <w:rPr>
          <w:rFonts w:ascii="Book Antiqua" w:eastAsia="ヒラギノ角ゴ Pro W3" w:hAnsi="Book Antiqua" w:cs="Times New Roman"/>
          <w:color w:val="000000" w:themeColor="text1"/>
          <w:spacing w:val="-3"/>
          <w:szCs w:val="24"/>
        </w:rPr>
        <w:t>.</w:t>
      </w:r>
    </w:p>
    <w:sectPr w:rsidR="003879C8" w:rsidRPr="00D46593" w:rsidSect="00F60E43">
      <w:headerReference w:type="even" r:id="rId14"/>
      <w:headerReference w:type="default" r:id="rId15"/>
      <w:headerReference w:type="first" r:id="rId16"/>
      <w:type w:val="continuous"/>
      <w:pgSz w:w="12240" w:h="15840" w:code="1"/>
      <w:pgMar w:top="1440" w:right="1440" w:bottom="1440" w:left="1440" w:header="720" w:footer="720" w:gutter="0"/>
      <w:lnNumType w:countBy="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33170" w14:textId="77777777" w:rsidR="007071B5" w:rsidRDefault="007071B5" w:rsidP="00E359E9">
      <w:r>
        <w:separator/>
      </w:r>
    </w:p>
  </w:endnote>
  <w:endnote w:type="continuationSeparator" w:id="0">
    <w:p w14:paraId="4B8A1C5A" w14:textId="77777777" w:rsidR="007071B5" w:rsidRDefault="007071B5" w:rsidP="00E35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charset w:val="80"/>
    <w:family w:val="auto"/>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BAE1B" w14:textId="77777777" w:rsidR="00BD7A89" w:rsidRDefault="00BD7A89" w:rsidP="00F60E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930A57" w14:textId="77777777" w:rsidR="00BD7A89" w:rsidRDefault="00BD7A89">
    <w:pPr>
      <w:pStyle w:val="Footer"/>
    </w:pPr>
  </w:p>
  <w:p w14:paraId="18F4388C" w14:textId="77777777" w:rsidR="00BD7A89" w:rsidRDefault="00BD7A8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C1700" w14:textId="77777777" w:rsidR="00BD7A89" w:rsidRDefault="00BD7A89">
    <w:pPr>
      <w:pStyle w:val="Footer"/>
    </w:pPr>
  </w:p>
  <w:p w14:paraId="033A6897" w14:textId="77777777" w:rsidR="00BD7A89" w:rsidRDefault="00BD7A8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4A2C9" w14:textId="7239E795" w:rsidR="00BD7A89" w:rsidRDefault="00BD7A89">
    <w:pPr>
      <w:pStyle w:val="Footer"/>
      <w:jc w:val="center"/>
    </w:pPr>
  </w:p>
  <w:p w14:paraId="58C5DC86" w14:textId="77777777" w:rsidR="00BD7A89" w:rsidRDefault="00BD7A89">
    <w:pPr>
      <w:pStyle w:val="Footer"/>
    </w:pPr>
  </w:p>
  <w:p w14:paraId="31CE3569" w14:textId="77777777" w:rsidR="00BD7A89" w:rsidRDefault="00BD7A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91123" w14:textId="77777777" w:rsidR="007071B5" w:rsidRDefault="007071B5" w:rsidP="00E359E9">
      <w:r>
        <w:separator/>
      </w:r>
    </w:p>
  </w:footnote>
  <w:footnote w:type="continuationSeparator" w:id="0">
    <w:p w14:paraId="26638CA9" w14:textId="77777777" w:rsidR="007071B5" w:rsidRDefault="007071B5" w:rsidP="00E359E9">
      <w:r>
        <w:continuationSeparator/>
      </w:r>
    </w:p>
  </w:footnote>
  <w:footnote w:id="1">
    <w:p w14:paraId="66AF6B49" w14:textId="2EC5E9DE" w:rsidR="00E359E9" w:rsidRPr="00E359E9" w:rsidRDefault="00E359E9" w:rsidP="00E359E9">
      <w:pPr>
        <w:overflowPunct w:val="0"/>
        <w:autoSpaceDE w:val="0"/>
        <w:autoSpaceDN w:val="0"/>
        <w:adjustRightInd w:val="0"/>
        <w:ind w:left="180" w:hanging="180"/>
        <w:textAlignment w:val="baseline"/>
        <w:rPr>
          <w:rFonts w:eastAsia="Times New Roman" w:cs="Times New Roman"/>
          <w:szCs w:val="24"/>
          <w:highlight w:val="yellow"/>
        </w:rPr>
      </w:pPr>
      <w:r w:rsidRPr="00E359E9">
        <w:rPr>
          <w:rStyle w:val="FootnoteReference"/>
        </w:rPr>
        <w:footnoteRef/>
      </w:r>
      <w:r w:rsidRPr="00E359E9">
        <w:t xml:space="preserve"> </w:t>
      </w:r>
      <w:r w:rsidRPr="00E359E9">
        <w:rPr>
          <w:rFonts w:eastAsia="Times New Roman" w:cs="Times New Roman"/>
          <w:sz w:val="18"/>
          <w:szCs w:val="18"/>
        </w:rPr>
        <w:t xml:space="preserve">Lamentablemente, aunque en la Ley se concibió con idea de que el proceso de transformación se haría de forma transparente, en la práctica fue totalmente distinto. El País se enteró del proceso de negociación para la creación de la alianza público-privada mediante el periódico </w:t>
      </w:r>
      <w:r w:rsidRPr="00E359E9">
        <w:rPr>
          <w:rFonts w:eastAsia="Times New Roman" w:cs="Times New Roman"/>
          <w:i/>
          <w:iCs/>
          <w:sz w:val="18"/>
          <w:szCs w:val="18"/>
        </w:rPr>
        <w:t xml:space="preserve">Wall Street </w:t>
      </w:r>
      <w:proofErr w:type="spellStart"/>
      <w:r w:rsidRPr="00E359E9">
        <w:rPr>
          <w:rFonts w:eastAsia="Times New Roman" w:cs="Times New Roman"/>
          <w:i/>
          <w:iCs/>
          <w:sz w:val="18"/>
          <w:szCs w:val="18"/>
        </w:rPr>
        <w:t>Journal</w:t>
      </w:r>
      <w:proofErr w:type="spellEnd"/>
      <w:r w:rsidRPr="00E359E9">
        <w:rPr>
          <w:rFonts w:eastAsia="Times New Roman" w:cs="Times New Roman"/>
          <w:sz w:val="18"/>
          <w:szCs w:val="18"/>
        </w:rPr>
        <w:t xml:space="preserve">, y posteriormente fue que se convocó a los medios locales para informar sobre la transacción que pondría en manos privadas el sistema eléctrico de Puerto Rico.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C9FC5" w14:textId="78281FF9" w:rsidR="00BD7A89" w:rsidRDefault="00BD7A89" w:rsidP="00F60E4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5A166B" w14:textId="77777777" w:rsidR="00BD7A89" w:rsidRDefault="00BD7A89">
    <w:pPr>
      <w:pStyle w:val="Header"/>
    </w:pPr>
  </w:p>
  <w:p w14:paraId="3745C760" w14:textId="77777777" w:rsidR="00BD7A89" w:rsidRDefault="00BD7A8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771713"/>
      <w:docPartObj>
        <w:docPartGallery w:val="Page Numbers (Top of Page)"/>
        <w:docPartUnique/>
      </w:docPartObj>
    </w:sdtPr>
    <w:sdtEndPr>
      <w:rPr>
        <w:noProof/>
      </w:rPr>
    </w:sdtEndPr>
    <w:sdtContent>
      <w:p w14:paraId="4E90A727" w14:textId="4E55228A" w:rsidR="00D46593" w:rsidRDefault="00D46593">
        <w:pPr>
          <w:pStyle w:val="Header"/>
          <w:jc w:val="center"/>
        </w:pPr>
        <w:r>
          <w:fldChar w:fldCharType="begin"/>
        </w:r>
        <w:r>
          <w:instrText xml:space="preserve"> PAGE   \* MERGEFORMAT </w:instrText>
        </w:r>
        <w:r>
          <w:fldChar w:fldCharType="separate"/>
        </w:r>
        <w:r w:rsidR="00185C80">
          <w:rPr>
            <w:noProof/>
          </w:rPr>
          <w:t>5</w:t>
        </w:r>
        <w:r>
          <w:rPr>
            <w:noProof/>
          </w:rPr>
          <w:fldChar w:fldCharType="end"/>
        </w:r>
      </w:p>
    </w:sdtContent>
  </w:sdt>
  <w:p w14:paraId="61B8A7F6" w14:textId="77777777" w:rsidR="00BD7A89" w:rsidRDefault="00BD7A8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8164C" w14:textId="4D16A0EA" w:rsidR="00BD7A89" w:rsidRDefault="00BD7A89">
    <w:pPr>
      <w:pStyle w:val="Header"/>
    </w:pPr>
  </w:p>
  <w:p w14:paraId="2A37FB14" w14:textId="77777777" w:rsidR="00BD7A89" w:rsidRDefault="00BD7A8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9719B" w14:textId="365A5305" w:rsidR="00772058" w:rsidRDefault="00185C8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5607B" w14:textId="422FB6EA" w:rsidR="00F60E43" w:rsidRDefault="007071B5">
    <w:pPr>
      <w:pStyle w:val="Header"/>
      <w:jc w:val="center"/>
    </w:pPr>
    <w:r>
      <w:rPr>
        <w:rStyle w:val="PageNumber"/>
      </w:rPr>
      <w:fldChar w:fldCharType="begin"/>
    </w:r>
    <w:r>
      <w:rPr>
        <w:rStyle w:val="PageNumber"/>
      </w:rPr>
      <w:instrText xml:space="preserve"> PAGE </w:instrText>
    </w:r>
    <w:r>
      <w:rPr>
        <w:rStyle w:val="PageNumber"/>
      </w:rPr>
      <w:fldChar w:fldCharType="separate"/>
    </w:r>
    <w:r w:rsidR="00185C80">
      <w:rPr>
        <w:rStyle w:val="PageNumber"/>
        <w:noProof/>
      </w:rPr>
      <w:t>8</w:t>
    </w:r>
    <w:r>
      <w:rPr>
        <w:rStyle w:val="PageNumber"/>
      </w:rPr>
      <w:fldChar w:fldCharType="end"/>
    </w:r>
  </w:p>
  <w:p w14:paraId="53F3168A" w14:textId="77777777" w:rsidR="00F60E43" w:rsidRDefault="00185C8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10653" w14:textId="0BBEEB6C" w:rsidR="00772058" w:rsidRDefault="00185C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335AD9"/>
    <w:multiLevelType w:val="hybridMultilevel"/>
    <w:tmpl w:val="C33C6794"/>
    <w:lvl w:ilvl="0" w:tplc="04CC78FC">
      <w:start w:val="1"/>
      <w:numFmt w:val="lowerLetter"/>
      <w:lvlText w:val="(%1)"/>
      <w:lvlJc w:val="left"/>
      <w:pPr>
        <w:ind w:left="2136" w:hanging="360"/>
      </w:pPr>
      <w:rPr>
        <w:rFonts w:hint="default"/>
        <w:i w:val="0"/>
        <w:iCs w:val="0"/>
      </w:rPr>
    </w:lvl>
    <w:lvl w:ilvl="1" w:tplc="500A0019">
      <w:start w:val="1"/>
      <w:numFmt w:val="lowerLetter"/>
      <w:lvlText w:val="%2."/>
      <w:lvlJc w:val="left"/>
      <w:pPr>
        <w:ind w:left="2856" w:hanging="360"/>
      </w:pPr>
    </w:lvl>
    <w:lvl w:ilvl="2" w:tplc="500A001B" w:tentative="1">
      <w:start w:val="1"/>
      <w:numFmt w:val="lowerRoman"/>
      <w:lvlText w:val="%3."/>
      <w:lvlJc w:val="right"/>
      <w:pPr>
        <w:ind w:left="3576" w:hanging="180"/>
      </w:pPr>
    </w:lvl>
    <w:lvl w:ilvl="3" w:tplc="500A000F" w:tentative="1">
      <w:start w:val="1"/>
      <w:numFmt w:val="decimal"/>
      <w:lvlText w:val="%4."/>
      <w:lvlJc w:val="left"/>
      <w:pPr>
        <w:ind w:left="4296" w:hanging="360"/>
      </w:pPr>
    </w:lvl>
    <w:lvl w:ilvl="4" w:tplc="500A0019" w:tentative="1">
      <w:start w:val="1"/>
      <w:numFmt w:val="lowerLetter"/>
      <w:lvlText w:val="%5."/>
      <w:lvlJc w:val="left"/>
      <w:pPr>
        <w:ind w:left="5016" w:hanging="360"/>
      </w:pPr>
    </w:lvl>
    <w:lvl w:ilvl="5" w:tplc="500A001B" w:tentative="1">
      <w:start w:val="1"/>
      <w:numFmt w:val="lowerRoman"/>
      <w:lvlText w:val="%6."/>
      <w:lvlJc w:val="right"/>
      <w:pPr>
        <w:ind w:left="5736" w:hanging="180"/>
      </w:pPr>
    </w:lvl>
    <w:lvl w:ilvl="6" w:tplc="500A000F" w:tentative="1">
      <w:start w:val="1"/>
      <w:numFmt w:val="decimal"/>
      <w:lvlText w:val="%7."/>
      <w:lvlJc w:val="left"/>
      <w:pPr>
        <w:ind w:left="6456" w:hanging="360"/>
      </w:pPr>
    </w:lvl>
    <w:lvl w:ilvl="7" w:tplc="500A0019" w:tentative="1">
      <w:start w:val="1"/>
      <w:numFmt w:val="lowerLetter"/>
      <w:lvlText w:val="%8."/>
      <w:lvlJc w:val="left"/>
      <w:pPr>
        <w:ind w:left="7176" w:hanging="360"/>
      </w:pPr>
    </w:lvl>
    <w:lvl w:ilvl="8" w:tplc="500A001B" w:tentative="1">
      <w:start w:val="1"/>
      <w:numFmt w:val="lowerRoman"/>
      <w:lvlText w:val="%9."/>
      <w:lvlJc w:val="right"/>
      <w:pPr>
        <w:ind w:left="7896" w:hanging="180"/>
      </w:pPr>
    </w:lvl>
  </w:abstractNum>
  <w:abstractNum w:abstractNumId="1">
    <w:nsid w:val="1E696526"/>
    <w:multiLevelType w:val="hybridMultilevel"/>
    <w:tmpl w:val="C79A157A"/>
    <w:lvl w:ilvl="0" w:tplc="445E5810">
      <w:start w:val="1"/>
      <w:numFmt w:val="lowerLetter"/>
      <w:lvlText w:val="(%1)"/>
      <w:lvlJc w:val="left"/>
      <w:pPr>
        <w:ind w:left="2136" w:hanging="360"/>
      </w:pPr>
      <w:rPr>
        <w:rFonts w:hint="default"/>
        <w:i w:val="0"/>
        <w:iCs w:val="0"/>
      </w:rPr>
    </w:lvl>
    <w:lvl w:ilvl="1" w:tplc="500A0019" w:tentative="1">
      <w:start w:val="1"/>
      <w:numFmt w:val="lowerLetter"/>
      <w:lvlText w:val="%2."/>
      <w:lvlJc w:val="left"/>
      <w:pPr>
        <w:ind w:left="2856" w:hanging="360"/>
      </w:pPr>
    </w:lvl>
    <w:lvl w:ilvl="2" w:tplc="500A001B" w:tentative="1">
      <w:start w:val="1"/>
      <w:numFmt w:val="lowerRoman"/>
      <w:lvlText w:val="%3."/>
      <w:lvlJc w:val="right"/>
      <w:pPr>
        <w:ind w:left="3576" w:hanging="180"/>
      </w:pPr>
    </w:lvl>
    <w:lvl w:ilvl="3" w:tplc="500A000F" w:tentative="1">
      <w:start w:val="1"/>
      <w:numFmt w:val="decimal"/>
      <w:lvlText w:val="%4."/>
      <w:lvlJc w:val="left"/>
      <w:pPr>
        <w:ind w:left="4296" w:hanging="360"/>
      </w:pPr>
    </w:lvl>
    <w:lvl w:ilvl="4" w:tplc="500A0019" w:tentative="1">
      <w:start w:val="1"/>
      <w:numFmt w:val="lowerLetter"/>
      <w:lvlText w:val="%5."/>
      <w:lvlJc w:val="left"/>
      <w:pPr>
        <w:ind w:left="5016" w:hanging="360"/>
      </w:pPr>
    </w:lvl>
    <w:lvl w:ilvl="5" w:tplc="500A001B" w:tentative="1">
      <w:start w:val="1"/>
      <w:numFmt w:val="lowerRoman"/>
      <w:lvlText w:val="%6."/>
      <w:lvlJc w:val="right"/>
      <w:pPr>
        <w:ind w:left="5736" w:hanging="180"/>
      </w:pPr>
    </w:lvl>
    <w:lvl w:ilvl="6" w:tplc="500A000F" w:tentative="1">
      <w:start w:val="1"/>
      <w:numFmt w:val="decimal"/>
      <w:lvlText w:val="%7."/>
      <w:lvlJc w:val="left"/>
      <w:pPr>
        <w:ind w:left="6456" w:hanging="360"/>
      </w:pPr>
    </w:lvl>
    <w:lvl w:ilvl="7" w:tplc="500A0019" w:tentative="1">
      <w:start w:val="1"/>
      <w:numFmt w:val="lowerLetter"/>
      <w:lvlText w:val="%8."/>
      <w:lvlJc w:val="left"/>
      <w:pPr>
        <w:ind w:left="7176" w:hanging="360"/>
      </w:pPr>
    </w:lvl>
    <w:lvl w:ilvl="8" w:tplc="500A001B" w:tentative="1">
      <w:start w:val="1"/>
      <w:numFmt w:val="lowerRoman"/>
      <w:lvlText w:val="%9."/>
      <w:lvlJc w:val="right"/>
      <w:pPr>
        <w:ind w:left="7896" w:hanging="180"/>
      </w:pPr>
    </w:lvl>
  </w:abstractNum>
  <w:abstractNum w:abstractNumId="2">
    <w:nsid w:val="2E7B543A"/>
    <w:multiLevelType w:val="hybridMultilevel"/>
    <w:tmpl w:val="D5304CE6"/>
    <w:lvl w:ilvl="0" w:tplc="ABAED2AA">
      <w:start w:val="27"/>
      <w:numFmt w:val="lowerLetter"/>
      <w:lvlText w:val="(%1)"/>
      <w:lvlJc w:val="left"/>
      <w:pPr>
        <w:ind w:left="2136" w:hanging="360"/>
      </w:pPr>
      <w:rPr>
        <w:rFonts w:hint="default"/>
      </w:r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
    <w:nsid w:val="527E646D"/>
    <w:multiLevelType w:val="hybridMultilevel"/>
    <w:tmpl w:val="4DF880E8"/>
    <w:lvl w:ilvl="0" w:tplc="5E0ED8D2">
      <w:start w:val="1"/>
      <w:numFmt w:val="lowerLetter"/>
      <w:lvlText w:val="(%1)"/>
      <w:lvlJc w:val="left"/>
      <w:pPr>
        <w:ind w:left="3552" w:hanging="360"/>
      </w:pPr>
      <w:rPr>
        <w:rFonts w:hint="default"/>
        <w:i/>
        <w:iCs/>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E654A384">
      <w:start w:val="1"/>
      <w:numFmt w:val="lowerLetter"/>
      <w:lvlText w:val="(%5)"/>
      <w:lvlJc w:val="left"/>
      <w:pPr>
        <w:ind w:left="3600" w:hanging="360"/>
      </w:pPr>
      <w:rPr>
        <w:rFonts w:hint="default"/>
        <w:i w:val="0"/>
        <w:iCs w:val="0"/>
      </w:r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
    <w:nsid w:val="55880C88"/>
    <w:multiLevelType w:val="hybridMultilevel"/>
    <w:tmpl w:val="A34C244E"/>
    <w:lvl w:ilvl="0" w:tplc="4D96FD6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D64232"/>
    <w:multiLevelType w:val="hybridMultilevel"/>
    <w:tmpl w:val="5C965D00"/>
    <w:lvl w:ilvl="0" w:tplc="55F8753A">
      <w:start w:val="1"/>
      <w:numFmt w:val="lowerLetter"/>
      <w:lvlText w:val="(%1)"/>
      <w:lvlJc w:val="left"/>
      <w:pPr>
        <w:ind w:left="2200" w:hanging="360"/>
      </w:pPr>
      <w:rPr>
        <w:rFonts w:hint="default"/>
        <w:i w:val="0"/>
        <w:iCs w:val="0"/>
      </w:rPr>
    </w:lvl>
    <w:lvl w:ilvl="1" w:tplc="500A0019" w:tentative="1">
      <w:start w:val="1"/>
      <w:numFmt w:val="lowerLetter"/>
      <w:lvlText w:val="%2."/>
      <w:lvlJc w:val="left"/>
      <w:pPr>
        <w:ind w:left="2920" w:hanging="360"/>
      </w:pPr>
    </w:lvl>
    <w:lvl w:ilvl="2" w:tplc="500A001B" w:tentative="1">
      <w:start w:val="1"/>
      <w:numFmt w:val="lowerRoman"/>
      <w:lvlText w:val="%3."/>
      <w:lvlJc w:val="right"/>
      <w:pPr>
        <w:ind w:left="3640" w:hanging="180"/>
      </w:pPr>
    </w:lvl>
    <w:lvl w:ilvl="3" w:tplc="500A000F" w:tentative="1">
      <w:start w:val="1"/>
      <w:numFmt w:val="decimal"/>
      <w:lvlText w:val="%4."/>
      <w:lvlJc w:val="left"/>
      <w:pPr>
        <w:ind w:left="4360" w:hanging="360"/>
      </w:pPr>
    </w:lvl>
    <w:lvl w:ilvl="4" w:tplc="500A0019" w:tentative="1">
      <w:start w:val="1"/>
      <w:numFmt w:val="lowerLetter"/>
      <w:lvlText w:val="%5."/>
      <w:lvlJc w:val="left"/>
      <w:pPr>
        <w:ind w:left="5080" w:hanging="360"/>
      </w:pPr>
    </w:lvl>
    <w:lvl w:ilvl="5" w:tplc="500A001B" w:tentative="1">
      <w:start w:val="1"/>
      <w:numFmt w:val="lowerRoman"/>
      <w:lvlText w:val="%6."/>
      <w:lvlJc w:val="right"/>
      <w:pPr>
        <w:ind w:left="5800" w:hanging="180"/>
      </w:pPr>
    </w:lvl>
    <w:lvl w:ilvl="6" w:tplc="500A000F" w:tentative="1">
      <w:start w:val="1"/>
      <w:numFmt w:val="decimal"/>
      <w:lvlText w:val="%7."/>
      <w:lvlJc w:val="left"/>
      <w:pPr>
        <w:ind w:left="6520" w:hanging="360"/>
      </w:pPr>
    </w:lvl>
    <w:lvl w:ilvl="7" w:tplc="500A0019" w:tentative="1">
      <w:start w:val="1"/>
      <w:numFmt w:val="lowerLetter"/>
      <w:lvlText w:val="%8."/>
      <w:lvlJc w:val="left"/>
      <w:pPr>
        <w:ind w:left="7240" w:hanging="360"/>
      </w:pPr>
    </w:lvl>
    <w:lvl w:ilvl="8" w:tplc="500A001B" w:tentative="1">
      <w:start w:val="1"/>
      <w:numFmt w:val="lowerRoman"/>
      <w:lvlText w:val="%9."/>
      <w:lvlJc w:val="right"/>
      <w:pPr>
        <w:ind w:left="7960" w:hanging="180"/>
      </w:pPr>
    </w:lvl>
  </w:abstractNum>
  <w:abstractNum w:abstractNumId="6">
    <w:nsid w:val="59CF33A2"/>
    <w:multiLevelType w:val="hybridMultilevel"/>
    <w:tmpl w:val="0DDABFC2"/>
    <w:lvl w:ilvl="0" w:tplc="05FCFEEE">
      <w:start w:val="1"/>
      <w:numFmt w:val="decimal"/>
      <w:lvlText w:val="(%1)"/>
      <w:lvlJc w:val="left"/>
      <w:pPr>
        <w:ind w:left="2610" w:hanging="360"/>
      </w:pPr>
      <w:rPr>
        <w:rFonts w:ascii="Book Antiqua" w:eastAsiaTheme="minorEastAsia" w:hAnsi="Book Antiqua" w:cstheme="minorBidi" w:hint="default"/>
        <w:sz w:val="24"/>
        <w:szCs w:val="24"/>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7">
    <w:nsid w:val="71662617"/>
    <w:multiLevelType w:val="hybridMultilevel"/>
    <w:tmpl w:val="01624840"/>
    <w:lvl w:ilvl="0" w:tplc="07EE93FE">
      <w:start w:val="1"/>
      <w:numFmt w:val="decimal"/>
      <w:lvlText w:val="(%1)"/>
      <w:lvlJc w:val="left"/>
      <w:pPr>
        <w:ind w:left="2496" w:hanging="360"/>
      </w:pPr>
      <w:rPr>
        <w:rFonts w:hint="default"/>
      </w:rPr>
    </w:lvl>
    <w:lvl w:ilvl="1" w:tplc="500A0019" w:tentative="1">
      <w:start w:val="1"/>
      <w:numFmt w:val="lowerLetter"/>
      <w:lvlText w:val="%2."/>
      <w:lvlJc w:val="left"/>
      <w:pPr>
        <w:ind w:left="3216" w:hanging="360"/>
      </w:pPr>
    </w:lvl>
    <w:lvl w:ilvl="2" w:tplc="500A001B" w:tentative="1">
      <w:start w:val="1"/>
      <w:numFmt w:val="lowerRoman"/>
      <w:lvlText w:val="%3."/>
      <w:lvlJc w:val="right"/>
      <w:pPr>
        <w:ind w:left="3936" w:hanging="180"/>
      </w:pPr>
    </w:lvl>
    <w:lvl w:ilvl="3" w:tplc="500A000F" w:tentative="1">
      <w:start w:val="1"/>
      <w:numFmt w:val="decimal"/>
      <w:lvlText w:val="%4."/>
      <w:lvlJc w:val="left"/>
      <w:pPr>
        <w:ind w:left="4656" w:hanging="360"/>
      </w:pPr>
    </w:lvl>
    <w:lvl w:ilvl="4" w:tplc="500A0019" w:tentative="1">
      <w:start w:val="1"/>
      <w:numFmt w:val="lowerLetter"/>
      <w:lvlText w:val="%5."/>
      <w:lvlJc w:val="left"/>
      <w:pPr>
        <w:ind w:left="5376" w:hanging="360"/>
      </w:pPr>
    </w:lvl>
    <w:lvl w:ilvl="5" w:tplc="500A001B" w:tentative="1">
      <w:start w:val="1"/>
      <w:numFmt w:val="lowerRoman"/>
      <w:lvlText w:val="%6."/>
      <w:lvlJc w:val="right"/>
      <w:pPr>
        <w:ind w:left="6096" w:hanging="180"/>
      </w:pPr>
    </w:lvl>
    <w:lvl w:ilvl="6" w:tplc="500A000F" w:tentative="1">
      <w:start w:val="1"/>
      <w:numFmt w:val="decimal"/>
      <w:lvlText w:val="%7."/>
      <w:lvlJc w:val="left"/>
      <w:pPr>
        <w:ind w:left="6816" w:hanging="360"/>
      </w:pPr>
    </w:lvl>
    <w:lvl w:ilvl="7" w:tplc="500A0019" w:tentative="1">
      <w:start w:val="1"/>
      <w:numFmt w:val="lowerLetter"/>
      <w:lvlText w:val="%8."/>
      <w:lvlJc w:val="left"/>
      <w:pPr>
        <w:ind w:left="7536" w:hanging="360"/>
      </w:pPr>
    </w:lvl>
    <w:lvl w:ilvl="8" w:tplc="500A001B" w:tentative="1">
      <w:start w:val="1"/>
      <w:numFmt w:val="lowerRoman"/>
      <w:lvlText w:val="%9."/>
      <w:lvlJc w:val="right"/>
      <w:pPr>
        <w:ind w:left="8256" w:hanging="180"/>
      </w:pPr>
    </w:lvl>
  </w:abstractNum>
  <w:abstractNum w:abstractNumId="8">
    <w:nsid w:val="79D37316"/>
    <w:multiLevelType w:val="hybridMultilevel"/>
    <w:tmpl w:val="A5CAE664"/>
    <w:lvl w:ilvl="0" w:tplc="FC9A5A38">
      <w:start w:val="1"/>
      <w:numFmt w:val="lowerLetter"/>
      <w:lvlText w:val="(%1)"/>
      <w:lvlJc w:val="left"/>
      <w:pPr>
        <w:ind w:left="3258" w:hanging="360"/>
      </w:pPr>
      <w:rPr>
        <w:rFonts w:hint="default"/>
      </w:rPr>
    </w:lvl>
    <w:lvl w:ilvl="1" w:tplc="04090019" w:tentative="1">
      <w:start w:val="1"/>
      <w:numFmt w:val="lowerLetter"/>
      <w:lvlText w:val="%2."/>
      <w:lvlJc w:val="left"/>
      <w:pPr>
        <w:ind w:left="3978" w:hanging="360"/>
      </w:pPr>
    </w:lvl>
    <w:lvl w:ilvl="2" w:tplc="0409001B" w:tentative="1">
      <w:start w:val="1"/>
      <w:numFmt w:val="lowerRoman"/>
      <w:lvlText w:val="%3."/>
      <w:lvlJc w:val="right"/>
      <w:pPr>
        <w:ind w:left="4698" w:hanging="180"/>
      </w:pPr>
    </w:lvl>
    <w:lvl w:ilvl="3" w:tplc="0409000F" w:tentative="1">
      <w:start w:val="1"/>
      <w:numFmt w:val="decimal"/>
      <w:lvlText w:val="%4."/>
      <w:lvlJc w:val="left"/>
      <w:pPr>
        <w:ind w:left="5418" w:hanging="360"/>
      </w:pPr>
    </w:lvl>
    <w:lvl w:ilvl="4" w:tplc="04090019" w:tentative="1">
      <w:start w:val="1"/>
      <w:numFmt w:val="lowerLetter"/>
      <w:lvlText w:val="%5."/>
      <w:lvlJc w:val="left"/>
      <w:pPr>
        <w:ind w:left="6138" w:hanging="360"/>
      </w:pPr>
    </w:lvl>
    <w:lvl w:ilvl="5" w:tplc="0409001B" w:tentative="1">
      <w:start w:val="1"/>
      <w:numFmt w:val="lowerRoman"/>
      <w:lvlText w:val="%6."/>
      <w:lvlJc w:val="right"/>
      <w:pPr>
        <w:ind w:left="6858" w:hanging="180"/>
      </w:pPr>
    </w:lvl>
    <w:lvl w:ilvl="6" w:tplc="0409000F" w:tentative="1">
      <w:start w:val="1"/>
      <w:numFmt w:val="decimal"/>
      <w:lvlText w:val="%7."/>
      <w:lvlJc w:val="left"/>
      <w:pPr>
        <w:ind w:left="7578" w:hanging="360"/>
      </w:pPr>
    </w:lvl>
    <w:lvl w:ilvl="7" w:tplc="04090019" w:tentative="1">
      <w:start w:val="1"/>
      <w:numFmt w:val="lowerLetter"/>
      <w:lvlText w:val="%8."/>
      <w:lvlJc w:val="left"/>
      <w:pPr>
        <w:ind w:left="8298" w:hanging="360"/>
      </w:pPr>
    </w:lvl>
    <w:lvl w:ilvl="8" w:tplc="0409001B" w:tentative="1">
      <w:start w:val="1"/>
      <w:numFmt w:val="lowerRoman"/>
      <w:lvlText w:val="%9."/>
      <w:lvlJc w:val="right"/>
      <w:pPr>
        <w:ind w:left="9018" w:hanging="180"/>
      </w:pPr>
    </w:lvl>
  </w:abstractNum>
  <w:num w:numId="1">
    <w:abstractNumId w:val="3"/>
  </w:num>
  <w:num w:numId="2">
    <w:abstractNumId w:val="5"/>
  </w:num>
  <w:num w:numId="3">
    <w:abstractNumId w:val="1"/>
  </w:num>
  <w:num w:numId="4">
    <w:abstractNumId w:val="0"/>
  </w:num>
  <w:num w:numId="5">
    <w:abstractNumId w:val="7"/>
  </w:num>
  <w:num w:numId="6">
    <w:abstractNumId w:val="2"/>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A89"/>
    <w:rsid w:val="000D383E"/>
    <w:rsid w:val="00185C80"/>
    <w:rsid w:val="00196ABA"/>
    <w:rsid w:val="001C3479"/>
    <w:rsid w:val="00255037"/>
    <w:rsid w:val="002D5DC0"/>
    <w:rsid w:val="003110DD"/>
    <w:rsid w:val="003879C8"/>
    <w:rsid w:val="003A38BC"/>
    <w:rsid w:val="004673DA"/>
    <w:rsid w:val="004812AE"/>
    <w:rsid w:val="00501731"/>
    <w:rsid w:val="005018CE"/>
    <w:rsid w:val="005254F3"/>
    <w:rsid w:val="00542156"/>
    <w:rsid w:val="005C6BD4"/>
    <w:rsid w:val="006338EC"/>
    <w:rsid w:val="006946BF"/>
    <w:rsid w:val="007071B5"/>
    <w:rsid w:val="007157BE"/>
    <w:rsid w:val="007712AE"/>
    <w:rsid w:val="00784145"/>
    <w:rsid w:val="00825593"/>
    <w:rsid w:val="008D2A66"/>
    <w:rsid w:val="009A109A"/>
    <w:rsid w:val="009A2149"/>
    <w:rsid w:val="009A2960"/>
    <w:rsid w:val="009E6B01"/>
    <w:rsid w:val="00A25A1E"/>
    <w:rsid w:val="00A30A23"/>
    <w:rsid w:val="00A72220"/>
    <w:rsid w:val="00B44DC6"/>
    <w:rsid w:val="00B81323"/>
    <w:rsid w:val="00B847C6"/>
    <w:rsid w:val="00BD7A89"/>
    <w:rsid w:val="00CB0868"/>
    <w:rsid w:val="00D46593"/>
    <w:rsid w:val="00D77222"/>
    <w:rsid w:val="00D95D3A"/>
    <w:rsid w:val="00DA4227"/>
    <w:rsid w:val="00E359E9"/>
    <w:rsid w:val="00F63DF0"/>
    <w:rsid w:val="00F93352"/>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884662"/>
  <w15:chartTrackingRefBased/>
  <w15:docId w15:val="{57C0DC01-F017-486E-9995-D8A21B28F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037"/>
    <w:rPr>
      <w:rFonts w:ascii="Palatino Linotype" w:hAnsi="Palatino Linotyp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SubtleReference"/>
    <w:uiPriority w:val="33"/>
    <w:qFormat/>
    <w:rsid w:val="00784145"/>
    <w:rPr>
      <w:rFonts w:ascii="Palatino Linotype" w:hAnsi="Palatino Linotype"/>
      <w:b w:val="0"/>
      <w:bCs/>
      <w:i w:val="0"/>
      <w:iCs/>
      <w:smallCaps/>
      <w:color w:val="000000" w:themeColor="text1"/>
      <w:spacing w:val="5"/>
      <w:sz w:val="24"/>
    </w:rPr>
  </w:style>
  <w:style w:type="character" w:styleId="SubtleReference">
    <w:name w:val="Subtle Reference"/>
    <w:basedOn w:val="DefaultParagraphFont"/>
    <w:uiPriority w:val="31"/>
    <w:qFormat/>
    <w:rsid w:val="00784145"/>
    <w:rPr>
      <w:smallCaps/>
      <w:color w:val="5A5A5A" w:themeColor="text1" w:themeTint="A5"/>
    </w:rPr>
  </w:style>
  <w:style w:type="paragraph" w:styleId="Header">
    <w:name w:val="header"/>
    <w:basedOn w:val="Normal"/>
    <w:link w:val="HeaderChar"/>
    <w:uiPriority w:val="99"/>
    <w:unhideWhenUsed/>
    <w:rsid w:val="00BD7A89"/>
    <w:pPr>
      <w:tabs>
        <w:tab w:val="center" w:pos="4680"/>
        <w:tab w:val="right" w:pos="9360"/>
      </w:tabs>
    </w:pPr>
    <w:rPr>
      <w:lang w:val="es-ES"/>
    </w:rPr>
  </w:style>
  <w:style w:type="character" w:customStyle="1" w:styleId="HeaderChar">
    <w:name w:val="Header Char"/>
    <w:basedOn w:val="DefaultParagraphFont"/>
    <w:link w:val="Header"/>
    <w:uiPriority w:val="99"/>
    <w:rsid w:val="00BD7A89"/>
    <w:rPr>
      <w:rFonts w:ascii="Palatino Linotype" w:hAnsi="Palatino Linotype"/>
      <w:sz w:val="24"/>
      <w:lang w:val="es-ES"/>
    </w:rPr>
  </w:style>
  <w:style w:type="paragraph" w:styleId="Footer">
    <w:name w:val="footer"/>
    <w:basedOn w:val="Normal"/>
    <w:link w:val="FooterChar"/>
    <w:uiPriority w:val="99"/>
    <w:semiHidden/>
    <w:unhideWhenUsed/>
    <w:rsid w:val="00BD7A89"/>
    <w:pPr>
      <w:tabs>
        <w:tab w:val="center" w:pos="4680"/>
        <w:tab w:val="right" w:pos="9360"/>
      </w:tabs>
    </w:pPr>
    <w:rPr>
      <w:lang w:val="es-ES"/>
    </w:rPr>
  </w:style>
  <w:style w:type="character" w:customStyle="1" w:styleId="FooterChar">
    <w:name w:val="Footer Char"/>
    <w:basedOn w:val="DefaultParagraphFont"/>
    <w:link w:val="Footer"/>
    <w:uiPriority w:val="99"/>
    <w:semiHidden/>
    <w:rsid w:val="00BD7A89"/>
    <w:rPr>
      <w:rFonts w:ascii="Palatino Linotype" w:hAnsi="Palatino Linotype"/>
      <w:sz w:val="24"/>
      <w:lang w:val="es-ES"/>
    </w:rPr>
  </w:style>
  <w:style w:type="character" w:styleId="PageNumber">
    <w:name w:val="page number"/>
    <w:basedOn w:val="DefaultParagraphFont"/>
    <w:rsid w:val="00BD7A89"/>
  </w:style>
  <w:style w:type="character" w:styleId="LineNumber">
    <w:name w:val="line number"/>
    <w:basedOn w:val="DefaultParagraphFont"/>
    <w:uiPriority w:val="99"/>
    <w:semiHidden/>
    <w:unhideWhenUsed/>
    <w:rsid w:val="00BD7A89"/>
  </w:style>
  <w:style w:type="paragraph" w:styleId="FootnoteText">
    <w:name w:val="footnote text"/>
    <w:basedOn w:val="Normal"/>
    <w:link w:val="FootnoteTextChar"/>
    <w:uiPriority w:val="99"/>
    <w:semiHidden/>
    <w:unhideWhenUsed/>
    <w:rsid w:val="00E359E9"/>
    <w:rPr>
      <w:sz w:val="20"/>
      <w:szCs w:val="20"/>
    </w:rPr>
  </w:style>
  <w:style w:type="character" w:customStyle="1" w:styleId="FootnoteTextChar">
    <w:name w:val="Footnote Text Char"/>
    <w:basedOn w:val="DefaultParagraphFont"/>
    <w:link w:val="FootnoteText"/>
    <w:uiPriority w:val="99"/>
    <w:semiHidden/>
    <w:rsid w:val="00E359E9"/>
    <w:rPr>
      <w:rFonts w:ascii="Palatino Linotype" w:hAnsi="Palatino Linotype"/>
      <w:sz w:val="20"/>
      <w:szCs w:val="20"/>
    </w:rPr>
  </w:style>
  <w:style w:type="character" w:styleId="FootnoteReference">
    <w:name w:val="footnote reference"/>
    <w:basedOn w:val="DefaultParagraphFont"/>
    <w:uiPriority w:val="99"/>
    <w:semiHidden/>
    <w:unhideWhenUsed/>
    <w:rsid w:val="00E359E9"/>
    <w:rPr>
      <w:vertAlign w:val="superscript"/>
    </w:rPr>
  </w:style>
  <w:style w:type="character" w:customStyle="1" w:styleId="apple-converted-space">
    <w:name w:val="apple-converted-space"/>
    <w:basedOn w:val="DefaultParagraphFont"/>
    <w:rsid w:val="00A72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3620A-2BC5-463A-A49D-B3D32B8DF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2447</Words>
  <Characters>13462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 Velazquez Grau</dc:creator>
  <cp:keywords/>
  <dc:description/>
  <cp:lastModifiedBy>Gladys J. Burgos Torres</cp:lastModifiedBy>
  <cp:revision>5</cp:revision>
  <dcterms:created xsi:type="dcterms:W3CDTF">2021-09-30T15:41:00Z</dcterms:created>
  <dcterms:modified xsi:type="dcterms:W3CDTF">2021-09-30T21:09:00Z</dcterms:modified>
</cp:coreProperties>
</file>