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B588" w14:textId="77777777" w:rsidR="004215A8" w:rsidRPr="004808FB" w:rsidRDefault="004215A8" w:rsidP="004215A8">
      <w:pPr>
        <w:jc w:val="center"/>
        <w:rPr>
          <w:rFonts w:ascii="Book Antiqua" w:hAnsi="Book Antiqua"/>
          <w:sz w:val="28"/>
          <w:szCs w:val="28"/>
        </w:rPr>
      </w:pPr>
      <w:r w:rsidRPr="004808FB">
        <w:rPr>
          <w:rFonts w:ascii="Book Antiqua" w:hAnsi="Book Antiqua"/>
          <w:sz w:val="28"/>
          <w:szCs w:val="28"/>
        </w:rPr>
        <w:t>ESTADO LIBRE ASOCIADO DE PUERTO RICO</w:t>
      </w:r>
      <w:r w:rsidRPr="004808FB">
        <w:rPr>
          <w:rFonts w:ascii="Book Antiqua" w:hAnsi="Book Antiqua"/>
          <w:b/>
          <w:bCs/>
          <w:sz w:val="28"/>
          <w:szCs w:val="28"/>
        </w:rPr>
        <w:t xml:space="preserve"> </w:t>
      </w:r>
    </w:p>
    <w:p w14:paraId="68BA0529" w14:textId="452F1C03" w:rsidR="004215A8" w:rsidRPr="004808FB" w:rsidRDefault="004215A8" w:rsidP="004215A8">
      <w:pPr>
        <w:spacing w:after="0"/>
        <w:rPr>
          <w:rFonts w:ascii="Book Antiqua" w:hAnsi="Book Antiqua"/>
          <w:sz w:val="24"/>
          <w:szCs w:val="24"/>
        </w:rPr>
      </w:pPr>
      <w:r w:rsidRPr="004808FB">
        <w:rPr>
          <w:rFonts w:ascii="Book Antiqua" w:hAnsi="Book Antiqua"/>
          <w:sz w:val="24"/>
          <w:szCs w:val="24"/>
        </w:rPr>
        <w:t xml:space="preserve">         19</w:t>
      </w:r>
      <w:r w:rsidRPr="004808FB">
        <w:rPr>
          <w:rFonts w:ascii="Book Antiqua" w:hAnsi="Book Antiqua"/>
          <w:sz w:val="24"/>
          <w:szCs w:val="24"/>
          <w:vertAlign w:val="superscript"/>
        </w:rPr>
        <w:t xml:space="preserve"> na</w:t>
      </w:r>
      <w:r w:rsidRPr="004808FB">
        <w:rPr>
          <w:rFonts w:ascii="Book Antiqua" w:hAnsi="Book Antiqua"/>
          <w:sz w:val="24"/>
          <w:szCs w:val="24"/>
        </w:rPr>
        <w:t xml:space="preserve">  Asamblea                                                                                             </w:t>
      </w:r>
      <w:r w:rsidR="00DB15AC" w:rsidRPr="00DB15AC">
        <w:rPr>
          <w:rFonts w:ascii="Book Antiqua" w:hAnsi="Book Antiqua"/>
          <w:sz w:val="24"/>
          <w:szCs w:val="24"/>
          <w:vertAlign w:val="superscript"/>
        </w:rPr>
        <w:t>7</w:t>
      </w:r>
      <w:r w:rsidR="00DB15AC">
        <w:rPr>
          <w:rFonts w:ascii="Book Antiqua" w:hAnsi="Book Antiqua"/>
          <w:sz w:val="24"/>
          <w:szCs w:val="24"/>
          <w:vertAlign w:val="superscript"/>
        </w:rPr>
        <w:t>m</w:t>
      </w:r>
      <w:r w:rsidRPr="00DB15AC">
        <w:rPr>
          <w:rFonts w:ascii="Book Antiqua" w:hAnsi="Book Antiqua"/>
          <w:sz w:val="24"/>
          <w:szCs w:val="24"/>
          <w:vertAlign w:val="superscript"/>
        </w:rPr>
        <w:t>a</w:t>
      </w:r>
      <w:r w:rsidRPr="004808FB">
        <w:rPr>
          <w:rFonts w:ascii="Book Antiqua" w:hAnsi="Book Antiqua"/>
          <w:sz w:val="24"/>
          <w:szCs w:val="24"/>
          <w:vertAlign w:val="superscript"/>
        </w:rPr>
        <w:t xml:space="preserve">  </w:t>
      </w:r>
      <w:r w:rsidRPr="004808FB">
        <w:rPr>
          <w:rFonts w:ascii="Book Antiqua" w:hAnsi="Book Antiqua"/>
          <w:sz w:val="24"/>
          <w:szCs w:val="24"/>
        </w:rPr>
        <w:t>Sesión</w:t>
      </w:r>
    </w:p>
    <w:p w14:paraId="4364DF2B" w14:textId="77777777" w:rsidR="004215A8" w:rsidRPr="004808FB" w:rsidRDefault="004215A8" w:rsidP="004215A8">
      <w:pPr>
        <w:spacing w:after="0"/>
        <w:jc w:val="center"/>
        <w:rPr>
          <w:rFonts w:ascii="Book Antiqua" w:hAnsi="Book Antiqua"/>
          <w:sz w:val="24"/>
          <w:szCs w:val="24"/>
        </w:rPr>
      </w:pPr>
      <w:r w:rsidRPr="004808FB">
        <w:rPr>
          <w:rFonts w:ascii="Book Antiqua" w:hAnsi="Book Antiqua"/>
          <w:sz w:val="24"/>
          <w:szCs w:val="24"/>
        </w:rPr>
        <w:t xml:space="preserve">                Legislativa</w:t>
      </w:r>
      <w:r w:rsidRPr="004808FB">
        <w:rPr>
          <w:rFonts w:ascii="Book Antiqua" w:hAnsi="Book Antiqua"/>
          <w:sz w:val="24"/>
          <w:szCs w:val="24"/>
        </w:rPr>
        <w:tab/>
        <w:t xml:space="preserve">                                                                                                Ordinaria</w:t>
      </w:r>
    </w:p>
    <w:p w14:paraId="0FD25655" w14:textId="77777777" w:rsidR="004215A8" w:rsidRPr="004808FB" w:rsidRDefault="004215A8" w:rsidP="004215A8">
      <w:pPr>
        <w:jc w:val="center"/>
        <w:rPr>
          <w:rFonts w:ascii="Book Antiqua" w:hAnsi="Book Antiqua"/>
          <w:sz w:val="24"/>
          <w:szCs w:val="24"/>
        </w:rPr>
      </w:pPr>
    </w:p>
    <w:p w14:paraId="1346A8F6" w14:textId="77777777" w:rsidR="004215A8" w:rsidRPr="004808FB" w:rsidRDefault="004215A8" w:rsidP="004215A8">
      <w:pPr>
        <w:spacing w:before="240"/>
        <w:jc w:val="center"/>
        <w:rPr>
          <w:rFonts w:ascii="Book Antiqua" w:hAnsi="Book Antiqua"/>
          <w:b/>
          <w:bCs/>
          <w:sz w:val="36"/>
          <w:szCs w:val="36"/>
        </w:rPr>
      </w:pPr>
      <w:r w:rsidRPr="004808FB">
        <w:rPr>
          <w:rFonts w:ascii="Book Antiqua" w:hAnsi="Book Antiqua"/>
          <w:b/>
          <w:bCs/>
          <w:sz w:val="36"/>
          <w:szCs w:val="36"/>
        </w:rPr>
        <w:t>SENADO DE PUERTO RICO</w:t>
      </w:r>
    </w:p>
    <w:p w14:paraId="648DA797" w14:textId="6B0B170F" w:rsidR="004215A8" w:rsidRDefault="004215A8" w:rsidP="004215A8">
      <w:pPr>
        <w:suppressLineNumbers/>
        <w:spacing w:after="0" w:line="240" w:lineRule="auto"/>
        <w:contextualSpacing/>
        <w:jc w:val="center"/>
        <w:rPr>
          <w:rFonts w:ascii="Book Antiqua" w:hAnsi="Book Antiqua"/>
          <w:b/>
          <w:sz w:val="52"/>
          <w:lang w:val="es-ES_tradnl"/>
        </w:rPr>
      </w:pPr>
      <w:r w:rsidRPr="00B47B13">
        <w:rPr>
          <w:rFonts w:ascii="Book Antiqua" w:hAnsi="Book Antiqua"/>
          <w:b/>
          <w:sz w:val="52"/>
          <w:lang w:val="es-ES_tradnl"/>
        </w:rPr>
        <w:t xml:space="preserve">P. de la C. </w:t>
      </w:r>
      <w:r>
        <w:rPr>
          <w:rFonts w:ascii="Book Antiqua" w:hAnsi="Book Antiqua"/>
          <w:b/>
          <w:sz w:val="52"/>
          <w:lang w:val="es-ES_tradnl"/>
        </w:rPr>
        <w:t>1</w:t>
      </w:r>
      <w:r w:rsidR="00E10C21">
        <w:rPr>
          <w:rFonts w:ascii="Book Antiqua" w:hAnsi="Book Antiqua"/>
          <w:b/>
          <w:sz w:val="52"/>
          <w:lang w:val="es-ES_tradnl"/>
        </w:rPr>
        <w:t>083</w:t>
      </w:r>
    </w:p>
    <w:p w14:paraId="0023D933" w14:textId="77777777" w:rsidR="004215A8" w:rsidRPr="004808FB" w:rsidRDefault="004215A8" w:rsidP="004215A8">
      <w:pPr>
        <w:spacing w:before="240"/>
        <w:jc w:val="center"/>
        <w:rPr>
          <w:rFonts w:ascii="Book Antiqua" w:hAnsi="Book Antiqua"/>
          <w:sz w:val="28"/>
          <w:szCs w:val="28"/>
        </w:rPr>
      </w:pPr>
      <w:r w:rsidRPr="004808FB">
        <w:rPr>
          <w:rFonts w:ascii="Book Antiqua" w:hAnsi="Book Antiqua"/>
          <w:sz w:val="28"/>
          <w:szCs w:val="28"/>
        </w:rPr>
        <w:t>INFORME POSITIVO</w:t>
      </w:r>
    </w:p>
    <w:p w14:paraId="7A502CC6" w14:textId="7B602FBD" w:rsidR="004215A8" w:rsidRPr="004808FB" w:rsidRDefault="00904EA7" w:rsidP="004215A8">
      <w:pPr>
        <w:spacing w:before="240"/>
        <w:jc w:val="center"/>
        <w:rPr>
          <w:rFonts w:ascii="Book Antiqua" w:hAnsi="Book Antiqua"/>
          <w:sz w:val="24"/>
          <w:szCs w:val="24"/>
        </w:rPr>
      </w:pPr>
      <w:r>
        <w:rPr>
          <w:rFonts w:ascii="Book Antiqua" w:hAnsi="Book Antiqua"/>
          <w:sz w:val="24"/>
          <w:szCs w:val="24"/>
        </w:rPr>
        <w:t>30</w:t>
      </w:r>
      <w:r w:rsidR="004215A8" w:rsidRPr="004808FB">
        <w:rPr>
          <w:rFonts w:ascii="Book Antiqua" w:hAnsi="Book Antiqua"/>
          <w:sz w:val="24"/>
          <w:szCs w:val="24"/>
        </w:rPr>
        <w:t xml:space="preserve"> de </w:t>
      </w:r>
      <w:r w:rsidR="00DB15AC">
        <w:rPr>
          <w:rFonts w:ascii="Book Antiqua" w:hAnsi="Book Antiqua"/>
          <w:sz w:val="24"/>
          <w:szCs w:val="24"/>
        </w:rPr>
        <w:t>enero</w:t>
      </w:r>
      <w:r w:rsidR="004215A8" w:rsidRPr="004808FB">
        <w:rPr>
          <w:rFonts w:ascii="Book Antiqua" w:hAnsi="Book Antiqua"/>
          <w:sz w:val="24"/>
          <w:szCs w:val="24"/>
        </w:rPr>
        <w:t xml:space="preserve"> de 202</w:t>
      </w:r>
      <w:r w:rsidR="00DB15AC">
        <w:rPr>
          <w:rFonts w:ascii="Book Antiqua" w:hAnsi="Book Antiqua"/>
          <w:sz w:val="24"/>
          <w:szCs w:val="24"/>
        </w:rPr>
        <w:t>4</w:t>
      </w:r>
    </w:p>
    <w:p w14:paraId="70D2B16C" w14:textId="77777777" w:rsidR="004215A8" w:rsidRPr="004808FB" w:rsidRDefault="004215A8" w:rsidP="004215A8">
      <w:pPr>
        <w:spacing w:before="240"/>
        <w:rPr>
          <w:rFonts w:ascii="Book Antiqua" w:hAnsi="Book Antiqua"/>
          <w:sz w:val="24"/>
          <w:szCs w:val="24"/>
        </w:rPr>
      </w:pPr>
    </w:p>
    <w:p w14:paraId="5DED7072" w14:textId="77777777" w:rsidR="004215A8" w:rsidRPr="004808FB" w:rsidRDefault="004215A8" w:rsidP="004215A8">
      <w:pPr>
        <w:spacing w:before="240" w:after="0"/>
        <w:rPr>
          <w:rFonts w:ascii="Book Antiqua" w:hAnsi="Book Antiqua"/>
          <w:b/>
          <w:bCs/>
          <w:sz w:val="24"/>
          <w:szCs w:val="24"/>
        </w:rPr>
      </w:pPr>
      <w:r w:rsidRPr="004808FB">
        <w:rPr>
          <w:rFonts w:ascii="Book Antiqua" w:hAnsi="Book Antiqua"/>
          <w:b/>
          <w:bCs/>
          <w:sz w:val="24"/>
          <w:szCs w:val="24"/>
        </w:rPr>
        <w:t>AL SENADO DE PUERTO RICO</w:t>
      </w:r>
    </w:p>
    <w:p w14:paraId="78FFBB20" w14:textId="2954C48E" w:rsidR="004215A8" w:rsidRPr="004808FB" w:rsidRDefault="004215A8" w:rsidP="004215A8">
      <w:pPr>
        <w:spacing w:before="240"/>
        <w:jc w:val="both"/>
        <w:rPr>
          <w:rFonts w:ascii="Book Antiqua" w:hAnsi="Book Antiqua"/>
          <w:sz w:val="24"/>
          <w:szCs w:val="24"/>
        </w:rPr>
      </w:pPr>
      <w:r w:rsidRPr="004808FB">
        <w:rPr>
          <w:rFonts w:ascii="Book Antiqua" w:hAnsi="Book Antiqua"/>
          <w:sz w:val="24"/>
          <w:szCs w:val="24"/>
        </w:rPr>
        <w:tab/>
      </w:r>
      <w:r w:rsidRPr="002F4665">
        <w:rPr>
          <w:rFonts w:ascii="Book Antiqua" w:hAnsi="Book Antiqua"/>
          <w:sz w:val="24"/>
          <w:szCs w:val="24"/>
        </w:rPr>
        <w:t>La Comisión de Salud del Senado de Puerto Rico, recomienda a este Alto Cuerpo, la aprobación del Proyecto de la Cámara 1</w:t>
      </w:r>
      <w:r w:rsidR="00E10C21">
        <w:rPr>
          <w:rFonts w:ascii="Book Antiqua" w:hAnsi="Book Antiqua"/>
          <w:sz w:val="24"/>
          <w:szCs w:val="24"/>
        </w:rPr>
        <w:t>083</w:t>
      </w:r>
      <w:r w:rsidRPr="002F4665">
        <w:rPr>
          <w:rFonts w:ascii="Book Antiqua" w:hAnsi="Book Antiqua"/>
          <w:sz w:val="24"/>
          <w:szCs w:val="24"/>
        </w:rPr>
        <w:t>, con las enmiendas contenidas en el entirillado que acompaña.</w:t>
      </w:r>
    </w:p>
    <w:p w14:paraId="05BAA22E" w14:textId="77777777" w:rsidR="004215A8" w:rsidRDefault="004215A8" w:rsidP="004215A8">
      <w:pPr>
        <w:spacing w:after="0"/>
        <w:jc w:val="center"/>
        <w:rPr>
          <w:rFonts w:ascii="Book Antiqua" w:hAnsi="Book Antiqua"/>
          <w:b/>
          <w:bCs/>
          <w:sz w:val="24"/>
          <w:szCs w:val="24"/>
        </w:rPr>
      </w:pPr>
      <w:r w:rsidRPr="004808FB">
        <w:rPr>
          <w:rFonts w:ascii="Book Antiqua" w:hAnsi="Book Antiqua"/>
          <w:b/>
          <w:bCs/>
          <w:sz w:val="24"/>
          <w:szCs w:val="24"/>
        </w:rPr>
        <w:t>ALCANCE DE LA MEDIDA</w:t>
      </w:r>
    </w:p>
    <w:p w14:paraId="63EC7362" w14:textId="77777777" w:rsidR="004215A8" w:rsidRPr="004808FB" w:rsidRDefault="004215A8" w:rsidP="004215A8">
      <w:pPr>
        <w:spacing w:after="0"/>
        <w:jc w:val="center"/>
        <w:rPr>
          <w:rFonts w:ascii="Book Antiqua" w:hAnsi="Book Antiqua"/>
          <w:b/>
          <w:bCs/>
          <w:sz w:val="24"/>
          <w:szCs w:val="24"/>
        </w:rPr>
      </w:pPr>
    </w:p>
    <w:p w14:paraId="01136B0B" w14:textId="54A57DC3" w:rsidR="004215A8" w:rsidRPr="00032AD8" w:rsidRDefault="004215A8" w:rsidP="004215A8">
      <w:pPr>
        <w:ind w:firstLine="720"/>
        <w:jc w:val="both"/>
        <w:rPr>
          <w:rFonts w:ascii="Book Antiqua" w:hAnsi="Book Antiqua"/>
          <w:sz w:val="24"/>
          <w:szCs w:val="24"/>
          <w:lang w:val="es-PR"/>
        </w:rPr>
      </w:pPr>
      <w:r w:rsidRPr="004808FB">
        <w:rPr>
          <w:rFonts w:ascii="Book Antiqua" w:hAnsi="Book Antiqua"/>
          <w:sz w:val="24"/>
          <w:szCs w:val="24"/>
        </w:rPr>
        <w:t xml:space="preserve">El Proyecto </w:t>
      </w:r>
      <w:r w:rsidR="005E68D9">
        <w:rPr>
          <w:rFonts w:ascii="Book Antiqua" w:hAnsi="Book Antiqua"/>
          <w:sz w:val="24"/>
          <w:szCs w:val="24"/>
        </w:rPr>
        <w:t>de la Cámara 1</w:t>
      </w:r>
      <w:r w:rsidR="00E10C21">
        <w:rPr>
          <w:rFonts w:ascii="Book Antiqua" w:hAnsi="Book Antiqua"/>
          <w:sz w:val="24"/>
          <w:szCs w:val="24"/>
        </w:rPr>
        <w:t>083</w:t>
      </w:r>
      <w:r w:rsidRPr="004808FB">
        <w:rPr>
          <w:rFonts w:ascii="Book Antiqua" w:hAnsi="Book Antiqua"/>
          <w:sz w:val="24"/>
          <w:szCs w:val="24"/>
        </w:rPr>
        <w:t xml:space="preserve">, </w:t>
      </w:r>
      <w:r w:rsidRPr="00032AD8">
        <w:rPr>
          <w:rFonts w:ascii="Book Antiqua" w:hAnsi="Book Antiqua"/>
          <w:sz w:val="24"/>
          <w:szCs w:val="24"/>
        </w:rPr>
        <w:t xml:space="preserve">tiene como propósito </w:t>
      </w:r>
      <w:r w:rsidR="00E10C21" w:rsidRPr="00E10C21">
        <w:rPr>
          <w:rFonts w:ascii="Book Antiqua" w:hAnsi="Book Antiqua"/>
          <w:sz w:val="24"/>
          <w:szCs w:val="24"/>
        </w:rPr>
        <w:t>designar el día 1 de diciembre como “Día Mundial del SIDA”; y para otros fines relacionados</w:t>
      </w:r>
      <w:r w:rsidR="005E68D9" w:rsidRPr="005E68D9">
        <w:rPr>
          <w:rFonts w:ascii="Book Antiqua" w:hAnsi="Book Antiqua"/>
          <w:sz w:val="24"/>
          <w:szCs w:val="24"/>
        </w:rPr>
        <w:t>.</w:t>
      </w:r>
    </w:p>
    <w:p w14:paraId="1555F9C9" w14:textId="3E50DB2C" w:rsidR="004215A8" w:rsidRPr="004808FB" w:rsidRDefault="004215A8" w:rsidP="0048077F">
      <w:pPr>
        <w:tabs>
          <w:tab w:val="left" w:pos="3370"/>
        </w:tabs>
        <w:spacing w:before="240" w:after="0"/>
        <w:jc w:val="center"/>
        <w:rPr>
          <w:rFonts w:ascii="Book Antiqua" w:hAnsi="Book Antiqua" w:cs="MS Shell Dlg 2"/>
          <w:b/>
          <w:bCs/>
          <w:sz w:val="24"/>
          <w:szCs w:val="24"/>
        </w:rPr>
      </w:pPr>
      <w:r w:rsidRPr="009D2820">
        <w:rPr>
          <w:rFonts w:ascii="Book Antiqua" w:hAnsi="Book Antiqua"/>
          <w:b/>
          <w:bCs/>
          <w:sz w:val="24"/>
          <w:szCs w:val="24"/>
        </w:rPr>
        <w:t>INTRODUCCI</w:t>
      </w:r>
      <w:r w:rsidRPr="009D2820">
        <w:rPr>
          <w:rFonts w:ascii="Book Antiqua" w:hAnsi="Book Antiqua" w:cs="Arial"/>
          <w:b/>
          <w:bCs/>
          <w:sz w:val="24"/>
          <w:szCs w:val="24"/>
        </w:rPr>
        <w:t>ÓN</w:t>
      </w:r>
    </w:p>
    <w:p w14:paraId="3898ED61" w14:textId="77777777" w:rsidR="00E10C21" w:rsidRDefault="009D2820" w:rsidP="000E57C7">
      <w:pPr>
        <w:autoSpaceDE w:val="0"/>
        <w:autoSpaceDN w:val="0"/>
        <w:adjustRightInd w:val="0"/>
        <w:spacing w:before="240" w:after="0" w:line="240" w:lineRule="auto"/>
        <w:ind w:firstLine="720"/>
        <w:jc w:val="both"/>
        <w:rPr>
          <w:rFonts w:ascii="Book Antiqua" w:hAnsi="Book Antiqua" w:cs="Arial"/>
          <w:sz w:val="24"/>
          <w:szCs w:val="24"/>
        </w:rPr>
      </w:pPr>
      <w:r>
        <w:rPr>
          <w:rFonts w:ascii="Book Antiqua" w:hAnsi="Book Antiqua" w:cs="Arial"/>
          <w:sz w:val="24"/>
          <w:szCs w:val="24"/>
        </w:rPr>
        <w:t xml:space="preserve">La Exposición de Motivos de la medida </w:t>
      </w:r>
      <w:r w:rsidR="00E10C21">
        <w:rPr>
          <w:rFonts w:ascii="Book Antiqua" w:hAnsi="Book Antiqua" w:cs="Arial"/>
          <w:sz w:val="24"/>
          <w:szCs w:val="24"/>
        </w:rPr>
        <w:t xml:space="preserve">presenta que el </w:t>
      </w:r>
      <w:r w:rsidR="00E10C21" w:rsidRPr="00E10C21">
        <w:rPr>
          <w:rFonts w:ascii="Book Antiqua" w:hAnsi="Book Antiqua" w:cs="Arial"/>
          <w:sz w:val="24"/>
          <w:szCs w:val="24"/>
        </w:rPr>
        <w:t>Día Mundial del SIDA (Síndrome de Inmuno Deficiencia Adquirida) tiene su origen</w:t>
      </w:r>
      <w:r w:rsidR="00E10C21">
        <w:rPr>
          <w:rFonts w:ascii="Book Antiqua" w:hAnsi="Book Antiqua" w:cs="Arial"/>
          <w:sz w:val="24"/>
          <w:szCs w:val="24"/>
        </w:rPr>
        <w:t xml:space="preserve"> en</w:t>
      </w:r>
      <w:r w:rsidR="00E10C21" w:rsidRPr="00E10C21">
        <w:rPr>
          <w:rFonts w:ascii="Book Antiqua" w:hAnsi="Book Antiqua" w:cs="Arial"/>
          <w:sz w:val="24"/>
          <w:szCs w:val="24"/>
        </w:rPr>
        <w:t xml:space="preserve"> el 28 de enero de 1988, en la “Declaración de Londres sobre la Prevención del SIDA” de la Cumbre Mundial de Ministros de Salud sobre Programas de Prevención del SIDA. En el evento, donde participaron delegados de 148 países, de forma unánime, se acordó que el año 1988 sería el Año de la Comunicación y la Cooperación sobre el SIDA.  Posterior a la Cumbre, la Asamblea Mundial de la Salud y la Asamblea General de la Organización de las Naciones Unidas apoyaron propuestas para que se designara el 1 de diciembre como el Día Mundial del SIDA. </w:t>
      </w:r>
    </w:p>
    <w:p w14:paraId="224D442F" w14:textId="61D12989" w:rsidR="009D2820" w:rsidRDefault="00E10C21" w:rsidP="000E57C7">
      <w:pPr>
        <w:autoSpaceDE w:val="0"/>
        <w:autoSpaceDN w:val="0"/>
        <w:adjustRightInd w:val="0"/>
        <w:spacing w:before="240" w:after="0" w:line="240" w:lineRule="auto"/>
        <w:ind w:firstLine="720"/>
        <w:jc w:val="both"/>
        <w:rPr>
          <w:rFonts w:ascii="Book Antiqua" w:hAnsi="Book Antiqua" w:cs="Arial"/>
          <w:sz w:val="24"/>
          <w:szCs w:val="24"/>
        </w:rPr>
      </w:pPr>
      <w:r>
        <w:rPr>
          <w:rFonts w:ascii="Book Antiqua" w:hAnsi="Book Antiqua" w:cs="Arial"/>
          <w:sz w:val="24"/>
          <w:szCs w:val="24"/>
        </w:rPr>
        <w:t>Según se expone, e</w:t>
      </w:r>
      <w:r w:rsidRPr="00E10C21">
        <w:rPr>
          <w:rFonts w:ascii="Book Antiqua" w:hAnsi="Book Antiqua" w:cs="Arial"/>
          <w:sz w:val="24"/>
          <w:szCs w:val="24"/>
        </w:rPr>
        <w:t xml:space="preserve">l Día Mundial del SIDA fue el primer día dedicado a la salud en todo el mundo. Desde entonces, todos los años se conmemora este día globalmente para demostrar solidaridad con las personas con diagnóstico positivo a VIH y conmemorar a aquellas personas que han muerto por enfermedades asociadas al SIDA.  </w:t>
      </w:r>
      <w:r w:rsidR="00EC0EE6" w:rsidRPr="00EC0EE6">
        <w:rPr>
          <w:rFonts w:ascii="Book Antiqua" w:hAnsi="Book Antiqua" w:cs="Arial"/>
          <w:sz w:val="24"/>
          <w:szCs w:val="24"/>
        </w:rPr>
        <w:lastRenderedPageBreak/>
        <w:t>A</w:t>
      </w:r>
      <w:r w:rsidRPr="00E10C21">
        <w:rPr>
          <w:rFonts w:ascii="Book Antiqua" w:hAnsi="Book Antiqua" w:cs="Arial"/>
          <w:sz w:val="24"/>
          <w:szCs w:val="24"/>
        </w:rPr>
        <w:t xml:space="preserve"> nivel mundial este día se ha convertido en la ocasión para retomar los esfuerzos de aumentar la conciencia sobre el estatus de la</w:t>
      </w:r>
      <w:r w:rsidRPr="00E10C21">
        <w:t xml:space="preserve"> </w:t>
      </w:r>
      <w:r w:rsidRPr="00E10C21">
        <w:rPr>
          <w:rFonts w:ascii="Book Antiqua" w:hAnsi="Book Antiqua" w:cs="Arial"/>
          <w:sz w:val="24"/>
          <w:szCs w:val="24"/>
        </w:rPr>
        <w:t>pandemia del VIH y SIDA, reforzar el compromiso y los progresos en la prevención del VIH y SIDA, su tratamiento y cuidado médico</w:t>
      </w:r>
      <w:r>
        <w:rPr>
          <w:rFonts w:ascii="Book Antiqua" w:hAnsi="Book Antiqua" w:cs="Arial"/>
          <w:sz w:val="24"/>
          <w:szCs w:val="24"/>
        </w:rPr>
        <w:t>.</w:t>
      </w:r>
    </w:p>
    <w:p w14:paraId="24C597B9" w14:textId="39EF22EE" w:rsidR="00F45414" w:rsidRDefault="00F45414" w:rsidP="000E57C7">
      <w:pPr>
        <w:autoSpaceDE w:val="0"/>
        <w:autoSpaceDN w:val="0"/>
        <w:adjustRightInd w:val="0"/>
        <w:spacing w:before="240" w:after="0" w:line="240" w:lineRule="auto"/>
        <w:ind w:firstLine="720"/>
        <w:jc w:val="both"/>
        <w:rPr>
          <w:rFonts w:ascii="Book Antiqua" w:hAnsi="Book Antiqua" w:cs="Arial"/>
          <w:sz w:val="24"/>
          <w:szCs w:val="24"/>
        </w:rPr>
      </w:pPr>
      <w:r w:rsidRPr="00F45414">
        <w:rPr>
          <w:rFonts w:ascii="Book Antiqua" w:hAnsi="Book Antiqua" w:cs="Arial"/>
          <w:sz w:val="24"/>
          <w:szCs w:val="24"/>
        </w:rPr>
        <w:t xml:space="preserve">Si bien la innovación de tratamiento y prevención ha </w:t>
      </w:r>
      <w:r>
        <w:rPr>
          <w:rFonts w:ascii="Book Antiqua" w:hAnsi="Book Antiqua" w:cs="Arial"/>
          <w:sz w:val="24"/>
          <w:szCs w:val="24"/>
        </w:rPr>
        <w:t>permitido</w:t>
      </w:r>
      <w:r w:rsidRPr="00F45414">
        <w:rPr>
          <w:rFonts w:ascii="Book Antiqua" w:hAnsi="Book Antiqua" w:cs="Arial"/>
          <w:sz w:val="24"/>
          <w:szCs w:val="24"/>
        </w:rPr>
        <w:t xml:space="preserve"> que el VIH </w:t>
      </w:r>
      <w:r>
        <w:rPr>
          <w:rFonts w:ascii="Book Antiqua" w:hAnsi="Book Antiqua" w:cs="Arial"/>
          <w:sz w:val="24"/>
          <w:szCs w:val="24"/>
        </w:rPr>
        <w:t>pasar</w:t>
      </w:r>
      <w:r w:rsidR="00EC0EE6">
        <w:rPr>
          <w:rFonts w:ascii="Book Antiqua" w:hAnsi="Book Antiqua" w:cs="Arial"/>
          <w:sz w:val="24"/>
          <w:szCs w:val="24"/>
        </w:rPr>
        <w:t>á</w:t>
      </w:r>
      <w:r w:rsidRPr="00F45414">
        <w:rPr>
          <w:rFonts w:ascii="Book Antiqua" w:hAnsi="Book Antiqua" w:cs="Arial"/>
          <w:sz w:val="24"/>
          <w:szCs w:val="24"/>
        </w:rPr>
        <w:t xml:space="preserve"> de una enfermedad terminal a una enfermedad crónica manejable, siguen existiendo barreras para retener a las personas con VIH bajo cuidado médico y lograr la supresión de la carga viral. A estos efectos, en el 2019, el Departamento de Salud y Servicios Humanos de los Estados Unidos anunció un plan denominado “Ending the HIV Epidemic in the U.S.” con la meta de poner fin a la epidemia del VIH en los Estados Unidos mediante la reducción de nuevas transmisiones en más del 90 por ciento para 2030, a la vez que se han otorgado fondos federales en las áreas con mayor prevalencia e incidencia de VIH, incluyendo a San Juan, Puerto Rico.</w:t>
      </w:r>
    </w:p>
    <w:p w14:paraId="0BA09D1F" w14:textId="32A2A5F6" w:rsidR="00E10C21" w:rsidRDefault="00E10C21" w:rsidP="000E57C7">
      <w:pPr>
        <w:autoSpaceDE w:val="0"/>
        <w:autoSpaceDN w:val="0"/>
        <w:adjustRightInd w:val="0"/>
        <w:spacing w:before="240" w:after="0" w:line="240" w:lineRule="auto"/>
        <w:ind w:firstLine="720"/>
        <w:jc w:val="both"/>
        <w:rPr>
          <w:rFonts w:ascii="Book Antiqua" w:hAnsi="Book Antiqua" w:cs="Arial"/>
          <w:sz w:val="24"/>
          <w:szCs w:val="24"/>
        </w:rPr>
      </w:pPr>
      <w:r>
        <w:rPr>
          <w:rFonts w:ascii="Book Antiqua" w:hAnsi="Book Antiqua" w:cs="Arial"/>
          <w:sz w:val="24"/>
          <w:szCs w:val="24"/>
        </w:rPr>
        <w:t xml:space="preserve">Se </w:t>
      </w:r>
      <w:r w:rsidR="00F45414">
        <w:rPr>
          <w:rFonts w:ascii="Book Antiqua" w:hAnsi="Book Antiqua" w:cs="Arial"/>
          <w:sz w:val="24"/>
          <w:szCs w:val="24"/>
        </w:rPr>
        <w:t>continúa</w:t>
      </w:r>
      <w:r>
        <w:rPr>
          <w:rFonts w:ascii="Book Antiqua" w:hAnsi="Book Antiqua" w:cs="Arial"/>
          <w:sz w:val="24"/>
          <w:szCs w:val="24"/>
        </w:rPr>
        <w:t xml:space="preserve"> exponiendo que</w:t>
      </w:r>
      <w:r w:rsidR="00F45414">
        <w:rPr>
          <w:rFonts w:ascii="Book Antiqua" w:hAnsi="Book Antiqua" w:cs="Arial"/>
          <w:sz w:val="24"/>
          <w:szCs w:val="24"/>
        </w:rPr>
        <w:t>,</w:t>
      </w:r>
      <w:r>
        <w:rPr>
          <w:rFonts w:ascii="Book Antiqua" w:hAnsi="Book Antiqua" w:cs="Arial"/>
          <w:sz w:val="24"/>
          <w:szCs w:val="24"/>
        </w:rPr>
        <w:t xml:space="preserve"> e</w:t>
      </w:r>
      <w:r w:rsidRPr="00E10C21">
        <w:rPr>
          <w:rFonts w:ascii="Book Antiqua" w:hAnsi="Book Antiqua" w:cs="Arial"/>
          <w:sz w:val="24"/>
          <w:szCs w:val="24"/>
        </w:rPr>
        <w:t xml:space="preserve">n Puerto Rico, todos los años </w:t>
      </w:r>
      <w:r w:rsidR="00F45414">
        <w:rPr>
          <w:rFonts w:ascii="Book Antiqua" w:hAnsi="Book Antiqua" w:cs="Arial"/>
          <w:sz w:val="24"/>
          <w:szCs w:val="24"/>
        </w:rPr>
        <w:t>se</w:t>
      </w:r>
      <w:r w:rsidRPr="00E10C21">
        <w:rPr>
          <w:rFonts w:ascii="Book Antiqua" w:hAnsi="Book Antiqua" w:cs="Arial"/>
          <w:sz w:val="24"/>
          <w:szCs w:val="24"/>
        </w:rPr>
        <w:t xml:space="preserve"> realizan actividades en ocasión del Día Mundial del SIDA; por ejemplo, tan reciente como el 1 de diciembre de 2018, se firmó la Ley Núm. 248-2018, conocida como “Carta de Derechos de las Personas Viviendo con VIH en cualquiera de sus etapas en Puerto Rico”, que sustituyó a la derogada Carta de Derechos de VIH de la Ley 349 del año 2000. A pesar de que este día está muy arraigado en la sociedad puertorriqueña, no existe legislación designando el 1 de diciembre de cada año como el Día Mundial del SIDA</w:t>
      </w:r>
      <w:r w:rsidR="00F45414">
        <w:rPr>
          <w:rFonts w:ascii="Book Antiqua" w:hAnsi="Book Antiqua" w:cs="Arial"/>
          <w:sz w:val="24"/>
          <w:szCs w:val="24"/>
        </w:rPr>
        <w:t>.</w:t>
      </w:r>
    </w:p>
    <w:p w14:paraId="396FCD1E" w14:textId="120573F9" w:rsidR="00F45414" w:rsidRDefault="00F45414" w:rsidP="000E57C7">
      <w:pPr>
        <w:autoSpaceDE w:val="0"/>
        <w:autoSpaceDN w:val="0"/>
        <w:adjustRightInd w:val="0"/>
        <w:spacing w:before="240" w:after="0" w:line="240" w:lineRule="auto"/>
        <w:ind w:firstLine="720"/>
        <w:jc w:val="both"/>
        <w:rPr>
          <w:rFonts w:ascii="Book Antiqua" w:hAnsi="Book Antiqua" w:cs="Arial"/>
          <w:sz w:val="24"/>
          <w:szCs w:val="24"/>
        </w:rPr>
      </w:pPr>
      <w:r w:rsidRPr="00F45414">
        <w:rPr>
          <w:rFonts w:ascii="Book Antiqua" w:hAnsi="Book Antiqua" w:cs="Arial"/>
          <w:sz w:val="24"/>
          <w:szCs w:val="24"/>
        </w:rPr>
        <w:t>Por tal razón, esta Asamblea Legislativa considera oportuno y meritorio designar el día 1 de diciembre como el “Día Mundial del SIDA”, a fin de, oficialmente, unirse al coro mundial de voces que busca concientizar sobre la lucha contra el VIH/SIDA y la posibilidad real de, una vez y por todas, terminar la epidemia de VIH</w:t>
      </w:r>
      <w:r>
        <w:rPr>
          <w:rFonts w:ascii="Book Antiqua" w:hAnsi="Book Antiqua" w:cs="Arial"/>
          <w:sz w:val="24"/>
          <w:szCs w:val="24"/>
        </w:rPr>
        <w:t>.</w:t>
      </w:r>
    </w:p>
    <w:p w14:paraId="44B628D5" w14:textId="45D065A0" w:rsidR="004215A8" w:rsidRPr="004808FB" w:rsidRDefault="004215A8" w:rsidP="004215A8">
      <w:pPr>
        <w:spacing w:before="240" w:after="0" w:line="276" w:lineRule="auto"/>
        <w:jc w:val="center"/>
        <w:rPr>
          <w:rFonts w:ascii="Book Antiqua" w:eastAsia="Malgun Gothic" w:hAnsi="Book Antiqua" w:cs="Malgun Gothic"/>
          <w:b/>
          <w:bCs/>
          <w:sz w:val="24"/>
          <w:szCs w:val="24"/>
        </w:rPr>
      </w:pPr>
      <w:r w:rsidRPr="004808FB">
        <w:rPr>
          <w:rFonts w:ascii="Book Antiqua" w:eastAsia="Malgun Gothic" w:hAnsi="Book Antiqua" w:cs="Malgun Gothic"/>
          <w:b/>
          <w:bCs/>
          <w:sz w:val="24"/>
          <w:szCs w:val="24"/>
        </w:rPr>
        <w:t>ALCANCE DEL INFORME</w:t>
      </w:r>
    </w:p>
    <w:p w14:paraId="1B495A68" w14:textId="77777777" w:rsidR="004215A8" w:rsidRPr="004808FB" w:rsidRDefault="004215A8" w:rsidP="004215A8">
      <w:pPr>
        <w:spacing w:before="240"/>
        <w:ind w:firstLine="720"/>
        <w:jc w:val="both"/>
        <w:rPr>
          <w:rFonts w:ascii="Book Antiqua" w:eastAsia="Malgun Gothic" w:hAnsi="Book Antiqua" w:cs="Malgun Gothic"/>
          <w:sz w:val="24"/>
          <w:szCs w:val="24"/>
        </w:rPr>
      </w:pPr>
      <w:r w:rsidRPr="004808FB">
        <w:rPr>
          <w:rFonts w:ascii="Book Antiqua" w:eastAsia="Malgun Gothic" w:hAnsi="Book Antiqua" w:cs="Malgun Gothic"/>
          <w:sz w:val="24"/>
          <w:szCs w:val="24"/>
        </w:rPr>
        <w:t>La Comisión de Salud del Senado del Estado Libre Asociado de Puerto Rico, según dispone la regla 13 del Reglamento del Senado, tiene la función y facultad de investigar, estudiar, evaluar, informar, hacer recomendaciones, enmendar o sustituir aquellas medidas o asuntos que estén comprendidos, relacionados con su jurisdicción o aquellos que le sean referidos.</w:t>
      </w:r>
      <w:r w:rsidRPr="004808FB">
        <w:rPr>
          <w:rFonts w:ascii="Book Antiqua" w:eastAsia="Malgun Gothic" w:hAnsi="Book Antiqua" w:cs="Malgun Gothic"/>
          <w:sz w:val="24"/>
          <w:szCs w:val="24"/>
        </w:rPr>
        <w:tab/>
      </w:r>
    </w:p>
    <w:p w14:paraId="681E1841" w14:textId="3FE333E6" w:rsidR="004215A8" w:rsidRPr="00A52530" w:rsidRDefault="004215A8" w:rsidP="00A52530">
      <w:pPr>
        <w:spacing w:before="240"/>
        <w:ind w:firstLine="720"/>
        <w:jc w:val="both"/>
        <w:rPr>
          <w:rFonts w:ascii="Book Antiqua" w:eastAsia="Malgun Gothic" w:hAnsi="Book Antiqua" w:cs="Malgun Gothic"/>
          <w:sz w:val="24"/>
          <w:szCs w:val="24"/>
          <w:lang w:val="es-PR"/>
        </w:rPr>
      </w:pPr>
      <w:r w:rsidRPr="004808FB">
        <w:rPr>
          <w:rFonts w:ascii="Book Antiqua" w:eastAsia="Malgun Gothic" w:hAnsi="Book Antiqua" w:cs="Malgun Gothic"/>
          <w:sz w:val="24"/>
          <w:szCs w:val="24"/>
        </w:rPr>
        <w:t>Para cumplir con esta responsabilidad para con esta medida legislativa, la Comisión de Salud del Senado peticionó Memoriales Explicativos al Departamento de Salud</w:t>
      </w:r>
      <w:r w:rsidR="00EE6F4C">
        <w:rPr>
          <w:rFonts w:ascii="Book Antiqua" w:eastAsia="Malgun Gothic" w:hAnsi="Book Antiqua" w:cs="Malgun Gothic"/>
          <w:sz w:val="24"/>
          <w:szCs w:val="24"/>
        </w:rPr>
        <w:t>, Departamento de Estado, Departamento de Educación,</w:t>
      </w:r>
      <w:r w:rsidR="00A52530">
        <w:rPr>
          <w:rFonts w:ascii="Book Antiqua" w:eastAsia="Malgun Gothic" w:hAnsi="Book Antiqua" w:cs="Malgun Gothic"/>
          <w:sz w:val="24"/>
          <w:szCs w:val="24"/>
        </w:rPr>
        <w:t xml:space="preserve"> </w:t>
      </w:r>
      <w:r w:rsidR="00A52530" w:rsidRPr="00A52530">
        <w:rPr>
          <w:rFonts w:ascii="Book Antiqua" w:eastAsia="Malgun Gothic" w:hAnsi="Book Antiqua" w:cs="Malgun Gothic"/>
          <w:sz w:val="24"/>
          <w:szCs w:val="24"/>
          <w:lang w:val="es-PR"/>
        </w:rPr>
        <w:t>PR CONCRA</w:t>
      </w:r>
      <w:r w:rsidR="00A52530">
        <w:rPr>
          <w:rFonts w:ascii="Book Antiqua" w:eastAsia="Malgun Gothic" w:hAnsi="Book Antiqua" w:cs="Malgun Gothic"/>
          <w:sz w:val="24"/>
          <w:szCs w:val="24"/>
          <w:lang w:val="es-PR"/>
        </w:rPr>
        <w:t xml:space="preserve">, </w:t>
      </w:r>
      <w:r w:rsidR="00A52530" w:rsidRPr="00A52530">
        <w:rPr>
          <w:rFonts w:ascii="Book Antiqua" w:eastAsia="Malgun Gothic" w:hAnsi="Book Antiqua" w:cs="Malgun Gothic"/>
          <w:sz w:val="24"/>
          <w:szCs w:val="24"/>
          <w:lang w:val="es-PR"/>
        </w:rPr>
        <w:t>APPIA, Inc.</w:t>
      </w:r>
      <w:r w:rsidR="00A52530">
        <w:rPr>
          <w:rFonts w:ascii="Book Antiqua" w:eastAsia="Malgun Gothic" w:hAnsi="Book Antiqua" w:cs="Malgun Gothic"/>
          <w:sz w:val="24"/>
          <w:szCs w:val="24"/>
          <w:lang w:val="es-PR"/>
        </w:rPr>
        <w:t xml:space="preserve"> y</w:t>
      </w:r>
      <w:r w:rsidR="00A52530" w:rsidRPr="00A52530">
        <w:rPr>
          <w:rFonts w:ascii="Book Antiqua" w:eastAsia="Malgun Gothic" w:hAnsi="Book Antiqua" w:cs="Malgun Gothic"/>
          <w:sz w:val="24"/>
          <w:szCs w:val="24"/>
          <w:lang w:val="es-PR"/>
        </w:rPr>
        <w:t xml:space="preserve"> </w:t>
      </w:r>
      <w:r w:rsidR="00A52530" w:rsidRPr="005465F6">
        <w:rPr>
          <w:rFonts w:ascii="Book Antiqua" w:eastAsia="Malgun Gothic" w:hAnsi="Book Antiqua" w:cs="Malgun Gothic"/>
          <w:sz w:val="24"/>
          <w:szCs w:val="24"/>
          <w:lang w:val="es-PR"/>
        </w:rPr>
        <w:t>Centro ARARAT</w:t>
      </w:r>
      <w:r w:rsidR="00EE6F4C">
        <w:rPr>
          <w:rFonts w:ascii="Book Antiqua" w:eastAsia="Malgun Gothic" w:hAnsi="Book Antiqua" w:cs="Malgun Gothic"/>
          <w:sz w:val="24"/>
          <w:szCs w:val="24"/>
        </w:rPr>
        <w:t xml:space="preserve">. Al momento </w:t>
      </w:r>
      <w:r w:rsidR="000C3693">
        <w:rPr>
          <w:rFonts w:ascii="Book Antiqua" w:eastAsia="Malgun Gothic" w:hAnsi="Book Antiqua" w:cs="Malgun Gothic"/>
          <w:sz w:val="24"/>
          <w:szCs w:val="24"/>
        </w:rPr>
        <w:t>del análisis de la medida, la Comisión no contaba con</w:t>
      </w:r>
      <w:r w:rsidR="00EE6F4C">
        <w:rPr>
          <w:rFonts w:ascii="Book Antiqua" w:eastAsia="Malgun Gothic" w:hAnsi="Book Antiqua" w:cs="Malgun Gothic"/>
          <w:sz w:val="24"/>
          <w:szCs w:val="24"/>
        </w:rPr>
        <w:t xml:space="preserve"> los memoriales del </w:t>
      </w:r>
      <w:r w:rsidR="005465F6" w:rsidRPr="005465F6">
        <w:rPr>
          <w:rFonts w:ascii="Book Antiqua" w:eastAsia="Malgun Gothic" w:hAnsi="Book Antiqua" w:cs="Malgun Gothic"/>
          <w:sz w:val="24"/>
          <w:szCs w:val="24"/>
        </w:rPr>
        <w:t>Departamento de Salud, PR CONCRA, APPIA, Inc. y Centro ARARAT</w:t>
      </w:r>
      <w:r w:rsidR="00EE6F4C">
        <w:rPr>
          <w:rFonts w:ascii="Book Antiqua" w:eastAsia="Malgun Gothic" w:hAnsi="Book Antiqua" w:cs="Malgun Gothic"/>
          <w:sz w:val="24"/>
          <w:szCs w:val="24"/>
        </w:rPr>
        <w:t xml:space="preserve">. </w:t>
      </w:r>
      <w:r w:rsidR="005465F6">
        <w:rPr>
          <w:rFonts w:ascii="Book Antiqua" w:eastAsia="Malgun Gothic" w:hAnsi="Book Antiqua" w:cs="Malgun Gothic"/>
          <w:sz w:val="24"/>
          <w:szCs w:val="24"/>
        </w:rPr>
        <w:t xml:space="preserve">Sin embargo, el Departamento de Salud </w:t>
      </w:r>
      <w:r w:rsidR="006B0106">
        <w:rPr>
          <w:rFonts w:ascii="Book Antiqua" w:eastAsia="Malgun Gothic" w:hAnsi="Book Antiqua" w:cs="Malgun Gothic"/>
          <w:sz w:val="24"/>
          <w:szCs w:val="24"/>
        </w:rPr>
        <w:t>sometió</w:t>
      </w:r>
      <w:r w:rsidR="005465F6">
        <w:rPr>
          <w:rFonts w:ascii="Book Antiqua" w:eastAsia="Malgun Gothic" w:hAnsi="Book Antiqua" w:cs="Malgun Gothic"/>
          <w:sz w:val="24"/>
          <w:szCs w:val="24"/>
        </w:rPr>
        <w:t xml:space="preserve"> comentarios sobre la medida a la Comision de Salud de la Cámara</w:t>
      </w:r>
      <w:r w:rsidR="00E664B3">
        <w:rPr>
          <w:rFonts w:ascii="Book Antiqua" w:eastAsia="Malgun Gothic" w:hAnsi="Book Antiqua" w:cs="Malgun Gothic"/>
          <w:sz w:val="24"/>
          <w:szCs w:val="24"/>
        </w:rPr>
        <w:t xml:space="preserve"> y los mismos se utilizaron como referencia para el </w:t>
      </w:r>
      <w:r w:rsidR="00E664B3">
        <w:rPr>
          <w:rFonts w:ascii="Book Antiqua" w:eastAsia="Malgun Gothic" w:hAnsi="Book Antiqua" w:cs="Malgun Gothic"/>
          <w:sz w:val="24"/>
          <w:szCs w:val="24"/>
        </w:rPr>
        <w:lastRenderedPageBreak/>
        <w:t xml:space="preserve">informe. </w:t>
      </w:r>
      <w:r w:rsidR="00EE6F4C">
        <w:rPr>
          <w:rFonts w:ascii="Book Antiqua" w:eastAsia="Malgun Gothic" w:hAnsi="Book Antiqua" w:cs="Malgun Gothic"/>
          <w:sz w:val="24"/>
          <w:szCs w:val="24"/>
        </w:rPr>
        <w:t xml:space="preserve">Con los datos adquiridos, la Comisión </w:t>
      </w:r>
      <w:r w:rsidRPr="004808FB">
        <w:rPr>
          <w:rFonts w:ascii="Book Antiqua" w:eastAsia="Malgun Gothic" w:hAnsi="Book Antiqua" w:cs="Malgun Gothic"/>
          <w:sz w:val="24"/>
          <w:szCs w:val="24"/>
        </w:rPr>
        <w:t>se encuentra en posición de realizar su análisis respecto al P. de</w:t>
      </w:r>
      <w:r w:rsidR="00EE6F4C">
        <w:rPr>
          <w:rFonts w:ascii="Book Antiqua" w:eastAsia="Malgun Gothic" w:hAnsi="Book Antiqua" w:cs="Malgun Gothic"/>
          <w:sz w:val="24"/>
          <w:szCs w:val="24"/>
        </w:rPr>
        <w:t xml:space="preserve"> la C</w:t>
      </w:r>
      <w:r w:rsidRPr="004808FB">
        <w:rPr>
          <w:rFonts w:ascii="Book Antiqua" w:eastAsia="Malgun Gothic" w:hAnsi="Book Antiqua" w:cs="Malgun Gothic"/>
          <w:sz w:val="24"/>
          <w:szCs w:val="24"/>
        </w:rPr>
        <w:t xml:space="preserve">. </w:t>
      </w:r>
      <w:r>
        <w:rPr>
          <w:rFonts w:ascii="Book Antiqua" w:eastAsia="Malgun Gothic" w:hAnsi="Book Antiqua" w:cs="Malgun Gothic"/>
          <w:sz w:val="24"/>
          <w:szCs w:val="24"/>
        </w:rPr>
        <w:t>1</w:t>
      </w:r>
      <w:r w:rsidR="00EE6F4C">
        <w:rPr>
          <w:rFonts w:ascii="Book Antiqua" w:eastAsia="Malgun Gothic" w:hAnsi="Book Antiqua" w:cs="Malgun Gothic"/>
          <w:sz w:val="24"/>
          <w:szCs w:val="24"/>
        </w:rPr>
        <w:t>380</w:t>
      </w:r>
      <w:r w:rsidRPr="004808FB">
        <w:rPr>
          <w:rFonts w:ascii="Book Antiqua" w:eastAsia="Malgun Gothic" w:hAnsi="Book Antiqua" w:cs="Malgun Gothic"/>
          <w:sz w:val="24"/>
          <w:szCs w:val="24"/>
        </w:rPr>
        <w:t>.</w:t>
      </w:r>
    </w:p>
    <w:p w14:paraId="65955299" w14:textId="1F1FF61C" w:rsidR="004215A8" w:rsidRPr="004808FB" w:rsidRDefault="004215A8" w:rsidP="000C3693">
      <w:pPr>
        <w:spacing w:before="240"/>
        <w:ind w:firstLine="720"/>
        <w:jc w:val="both"/>
        <w:rPr>
          <w:rFonts w:ascii="Book Antiqua" w:eastAsia="Malgun Gothic" w:hAnsi="Book Antiqua" w:cs="Malgun Gothic"/>
          <w:sz w:val="24"/>
          <w:szCs w:val="24"/>
        </w:rPr>
      </w:pPr>
      <w:r w:rsidRPr="004808FB">
        <w:rPr>
          <w:rFonts w:ascii="Book Antiqua" w:eastAsia="Malgun Gothic" w:hAnsi="Book Antiqua" w:cs="Malgun Gothic"/>
          <w:sz w:val="24"/>
          <w:szCs w:val="24"/>
        </w:rPr>
        <w:tab/>
      </w:r>
      <w:r w:rsidRPr="004808FB">
        <w:rPr>
          <w:rFonts w:ascii="Book Antiqua" w:eastAsia="Malgun Gothic" w:hAnsi="Book Antiqua" w:cs="Malgun Gothic"/>
          <w:sz w:val="24"/>
          <w:szCs w:val="24"/>
        </w:rPr>
        <w:tab/>
      </w:r>
      <w:r w:rsidRPr="004808FB">
        <w:rPr>
          <w:rFonts w:ascii="Book Antiqua" w:eastAsia="Malgun Gothic" w:hAnsi="Book Antiqua" w:cs="Malgun Gothic"/>
          <w:sz w:val="24"/>
          <w:szCs w:val="24"/>
        </w:rPr>
        <w:tab/>
      </w:r>
      <w:r w:rsidRPr="004808FB">
        <w:rPr>
          <w:rFonts w:ascii="Book Antiqua" w:eastAsia="Malgun Gothic" w:hAnsi="Book Antiqua" w:cs="Malgun Gothic"/>
          <w:sz w:val="24"/>
          <w:szCs w:val="24"/>
        </w:rPr>
        <w:tab/>
      </w:r>
      <w:r w:rsidRPr="004808FB">
        <w:rPr>
          <w:rFonts w:ascii="Book Antiqua" w:eastAsia="Malgun Gothic" w:hAnsi="Book Antiqua" w:cs="Malgun Gothic"/>
          <w:sz w:val="24"/>
          <w:szCs w:val="24"/>
        </w:rPr>
        <w:tab/>
      </w:r>
      <w:r w:rsidRPr="004808FB">
        <w:rPr>
          <w:rFonts w:ascii="Book Antiqua" w:eastAsia="Malgun Gothic" w:hAnsi="Book Antiqua" w:cs="Malgun Gothic"/>
          <w:b/>
          <w:bCs/>
          <w:sz w:val="24"/>
          <w:szCs w:val="24"/>
        </w:rPr>
        <w:t>ANÁLISIS</w:t>
      </w:r>
    </w:p>
    <w:p w14:paraId="2C8EA162" w14:textId="16A16F9B" w:rsidR="004215A8" w:rsidRDefault="004215A8" w:rsidP="00E16A74">
      <w:pPr>
        <w:ind w:firstLine="720"/>
        <w:jc w:val="both"/>
        <w:rPr>
          <w:rFonts w:ascii="Book Antiqua" w:hAnsi="Book Antiqua"/>
          <w:sz w:val="24"/>
          <w:szCs w:val="24"/>
        </w:rPr>
      </w:pPr>
      <w:r w:rsidRPr="004808FB">
        <w:rPr>
          <w:rFonts w:ascii="Book Antiqua" w:eastAsia="Malgun Gothic" w:hAnsi="Book Antiqua" w:cs="Malgun Gothic"/>
          <w:sz w:val="24"/>
          <w:szCs w:val="24"/>
        </w:rPr>
        <w:t xml:space="preserve">La medida legislativa </w:t>
      </w:r>
      <w:r w:rsidRPr="00032AD8">
        <w:rPr>
          <w:rFonts w:ascii="Book Antiqua" w:hAnsi="Book Antiqua"/>
          <w:sz w:val="24"/>
          <w:szCs w:val="24"/>
        </w:rPr>
        <w:t xml:space="preserve">tiene como propósito </w:t>
      </w:r>
      <w:r w:rsidR="00C44F65" w:rsidRPr="00C44F65">
        <w:rPr>
          <w:rFonts w:ascii="Book Antiqua" w:hAnsi="Book Antiqua"/>
          <w:sz w:val="24"/>
          <w:szCs w:val="24"/>
        </w:rPr>
        <w:t>designar el día 1 de diciembre como “Día Mundial del SIDA”</w:t>
      </w:r>
      <w:r w:rsidR="00E16A74" w:rsidRPr="00E16A74">
        <w:rPr>
          <w:rFonts w:ascii="Book Antiqua" w:hAnsi="Book Antiqua"/>
          <w:sz w:val="24"/>
          <w:szCs w:val="24"/>
        </w:rPr>
        <w:t>.</w:t>
      </w:r>
    </w:p>
    <w:p w14:paraId="76D1F25B" w14:textId="77777777" w:rsidR="004215A8" w:rsidRPr="004808FB" w:rsidRDefault="004215A8" w:rsidP="004215A8">
      <w:pPr>
        <w:ind w:firstLine="720"/>
        <w:jc w:val="both"/>
        <w:rPr>
          <w:rFonts w:ascii="Book Antiqua" w:eastAsia="Malgun Gothic" w:hAnsi="Book Antiqua" w:cs="Malgun Gothic"/>
          <w:sz w:val="24"/>
          <w:szCs w:val="24"/>
        </w:rPr>
      </w:pPr>
      <w:r w:rsidRPr="004808FB">
        <w:rPr>
          <w:rFonts w:ascii="Book Antiqua" w:eastAsia="Malgun Gothic" w:hAnsi="Book Antiqua" w:cs="Malgun Gothic"/>
          <w:sz w:val="24"/>
          <w:szCs w:val="24"/>
        </w:rPr>
        <w:t>De acuerdo con las expresiones realizadas por los grupos de interés consultados, entiéndase, representantes de los sectores antes mencionados, se presenta un resumen de sus planteamientos, observaciones y recomendaciones.</w:t>
      </w:r>
    </w:p>
    <w:p w14:paraId="3588A4B0" w14:textId="77777777" w:rsidR="00EF2DDF" w:rsidRDefault="00EF2DDF" w:rsidP="00EF2DDF">
      <w:pPr>
        <w:spacing w:after="194"/>
        <w:ind w:left="28" w:right="24" w:firstLine="692"/>
        <w:jc w:val="center"/>
        <w:rPr>
          <w:rFonts w:ascii="Book Antiqua" w:eastAsia="Malgun Gothic" w:hAnsi="Book Antiqua" w:cs="Malgun Gothic"/>
          <w:sz w:val="24"/>
          <w:szCs w:val="24"/>
          <w:u w:val="single"/>
        </w:rPr>
      </w:pPr>
      <w:r w:rsidRPr="00712C48">
        <w:rPr>
          <w:rFonts w:ascii="Book Antiqua" w:eastAsia="Malgun Gothic" w:hAnsi="Book Antiqua" w:cs="Malgun Gothic"/>
          <w:sz w:val="24"/>
          <w:szCs w:val="24"/>
          <w:u w:val="single"/>
        </w:rPr>
        <w:t xml:space="preserve">Departamento de Estado </w:t>
      </w:r>
    </w:p>
    <w:p w14:paraId="5622B400" w14:textId="6F12E325" w:rsidR="00EF2DDF" w:rsidRDefault="005B723B" w:rsidP="00EF2DDF">
      <w:pPr>
        <w:spacing w:after="194"/>
        <w:ind w:left="28" w:right="24" w:firstLine="692"/>
        <w:jc w:val="both"/>
        <w:rPr>
          <w:rFonts w:ascii="Book Antiqua" w:eastAsia="Malgun Gothic" w:hAnsi="Book Antiqua" w:cs="Malgun Gothic"/>
          <w:sz w:val="24"/>
          <w:szCs w:val="24"/>
          <w:u w:val="single"/>
        </w:rPr>
      </w:pPr>
      <w:r>
        <w:rPr>
          <w:rFonts w:ascii="Book Antiqua" w:eastAsia="Malgun Gothic" w:hAnsi="Book Antiqua" w:cs="Malgun Gothic"/>
          <w:sz w:val="24"/>
          <w:szCs w:val="24"/>
        </w:rPr>
        <w:t>El Lcdo. Félix A. Lizasuaín Martinez</w:t>
      </w:r>
      <w:r w:rsidR="00EF2DDF">
        <w:rPr>
          <w:rFonts w:ascii="Book Antiqua" w:eastAsia="Malgun Gothic" w:hAnsi="Book Antiqua" w:cs="Malgun Gothic"/>
          <w:sz w:val="24"/>
          <w:szCs w:val="24"/>
        </w:rPr>
        <w:t>, Subsecretari</w:t>
      </w:r>
      <w:r>
        <w:rPr>
          <w:rFonts w:ascii="Book Antiqua" w:eastAsia="Malgun Gothic" w:hAnsi="Book Antiqua" w:cs="Malgun Gothic"/>
          <w:sz w:val="24"/>
          <w:szCs w:val="24"/>
        </w:rPr>
        <w:t>o</w:t>
      </w:r>
      <w:r w:rsidR="00EF2DDF">
        <w:rPr>
          <w:rFonts w:ascii="Book Antiqua" w:eastAsia="Malgun Gothic" w:hAnsi="Book Antiqua" w:cs="Malgun Gothic"/>
          <w:sz w:val="24"/>
          <w:szCs w:val="24"/>
        </w:rPr>
        <w:t xml:space="preserve"> de Estado Interin</w:t>
      </w:r>
      <w:r>
        <w:rPr>
          <w:rFonts w:ascii="Book Antiqua" w:eastAsia="Malgun Gothic" w:hAnsi="Book Antiqua" w:cs="Malgun Gothic"/>
          <w:sz w:val="24"/>
          <w:szCs w:val="24"/>
        </w:rPr>
        <w:t>o</w:t>
      </w:r>
      <w:r w:rsidR="00EF2DDF">
        <w:rPr>
          <w:rFonts w:ascii="Book Antiqua" w:eastAsia="Malgun Gothic" w:hAnsi="Book Antiqua" w:cs="Malgun Gothic"/>
          <w:sz w:val="24"/>
          <w:szCs w:val="24"/>
        </w:rPr>
        <w:t xml:space="preserve"> del </w:t>
      </w:r>
      <w:r w:rsidR="00EF2DDF" w:rsidRPr="0021404A">
        <w:rPr>
          <w:rFonts w:ascii="Book Antiqua" w:eastAsia="Malgun Gothic" w:hAnsi="Book Antiqua" w:cs="Malgun Gothic"/>
          <w:b/>
          <w:bCs/>
          <w:sz w:val="24"/>
          <w:szCs w:val="24"/>
        </w:rPr>
        <w:t>Departamento de Estado</w:t>
      </w:r>
      <w:r w:rsidR="00EF2DDF" w:rsidRPr="0021404A">
        <w:rPr>
          <w:rFonts w:ascii="Book Antiqua" w:eastAsia="Malgun Gothic" w:hAnsi="Book Antiqua" w:cs="Malgun Gothic"/>
          <w:sz w:val="24"/>
          <w:szCs w:val="24"/>
        </w:rPr>
        <w:t xml:space="preserve">, </w:t>
      </w:r>
      <w:r w:rsidR="00EF2DDF">
        <w:rPr>
          <w:rFonts w:ascii="Book Antiqua" w:eastAsia="Malgun Gothic" w:hAnsi="Book Antiqua" w:cs="Malgun Gothic"/>
          <w:sz w:val="24"/>
          <w:szCs w:val="24"/>
        </w:rPr>
        <w:t xml:space="preserve">sometió un Memorial Explicativo </w:t>
      </w:r>
      <w:r w:rsidR="00EF2DDF" w:rsidRPr="0021404A">
        <w:rPr>
          <w:rFonts w:ascii="Book Antiqua" w:eastAsia="Malgun Gothic" w:hAnsi="Book Antiqua" w:cs="Malgun Gothic"/>
          <w:sz w:val="24"/>
          <w:szCs w:val="24"/>
          <w:u w:val="single"/>
        </w:rPr>
        <w:t>favoreciendo la aprobación del Proyecto de la Cámara 1</w:t>
      </w:r>
      <w:r>
        <w:rPr>
          <w:rFonts w:ascii="Book Antiqua" w:eastAsia="Malgun Gothic" w:hAnsi="Book Antiqua" w:cs="Malgun Gothic"/>
          <w:sz w:val="24"/>
          <w:szCs w:val="24"/>
          <w:u w:val="single"/>
        </w:rPr>
        <w:t>083</w:t>
      </w:r>
      <w:r w:rsidR="00EF2DDF" w:rsidRPr="0021404A">
        <w:rPr>
          <w:rFonts w:ascii="Book Antiqua" w:eastAsia="Malgun Gothic" w:hAnsi="Book Antiqua" w:cs="Malgun Gothic"/>
          <w:sz w:val="24"/>
          <w:szCs w:val="24"/>
          <w:u w:val="single"/>
        </w:rPr>
        <w:t xml:space="preserve">. </w:t>
      </w:r>
    </w:p>
    <w:p w14:paraId="0C604975" w14:textId="5E141133" w:rsidR="00EF2DDF" w:rsidRDefault="005B723B" w:rsidP="00EF2DDF">
      <w:pPr>
        <w:spacing w:after="194"/>
        <w:ind w:left="28" w:right="24" w:firstLine="692"/>
        <w:jc w:val="both"/>
        <w:rPr>
          <w:rFonts w:ascii="Book Antiqua" w:eastAsia="Malgun Gothic" w:hAnsi="Book Antiqua" w:cs="Malgun Gothic"/>
          <w:sz w:val="24"/>
          <w:szCs w:val="24"/>
        </w:rPr>
      </w:pPr>
      <w:r>
        <w:rPr>
          <w:rFonts w:ascii="Book Antiqua" w:eastAsia="Malgun Gothic" w:hAnsi="Book Antiqua" w:cs="Malgun Gothic"/>
          <w:sz w:val="24"/>
          <w:szCs w:val="24"/>
        </w:rPr>
        <w:t>El Subsecretario interino</w:t>
      </w:r>
      <w:r w:rsidR="00EF2DDF">
        <w:rPr>
          <w:rFonts w:ascii="Book Antiqua" w:eastAsia="Malgun Gothic" w:hAnsi="Book Antiqua" w:cs="Malgun Gothic"/>
          <w:sz w:val="24"/>
          <w:szCs w:val="24"/>
        </w:rPr>
        <w:t xml:space="preserve"> expres</w:t>
      </w:r>
      <w:r>
        <w:rPr>
          <w:rFonts w:ascii="Book Antiqua" w:eastAsia="Malgun Gothic" w:hAnsi="Book Antiqua" w:cs="Malgun Gothic"/>
          <w:sz w:val="24"/>
          <w:szCs w:val="24"/>
        </w:rPr>
        <w:t>ó</w:t>
      </w:r>
      <w:r w:rsidR="00EF2DDF">
        <w:rPr>
          <w:rFonts w:ascii="Book Antiqua" w:eastAsia="Malgun Gothic" w:hAnsi="Book Antiqua" w:cs="Malgun Gothic"/>
          <w:sz w:val="24"/>
          <w:szCs w:val="24"/>
        </w:rPr>
        <w:t xml:space="preserve"> </w:t>
      </w:r>
      <w:r>
        <w:rPr>
          <w:rFonts w:ascii="Book Antiqua" w:eastAsia="Malgun Gothic" w:hAnsi="Book Antiqua" w:cs="Malgun Gothic"/>
          <w:sz w:val="24"/>
          <w:szCs w:val="24"/>
        </w:rPr>
        <w:t xml:space="preserve">que </w:t>
      </w:r>
      <w:r w:rsidRPr="005B723B">
        <w:rPr>
          <w:rFonts w:ascii="Book Antiqua" w:eastAsia="Malgun Gothic" w:hAnsi="Book Antiqua" w:cs="Malgun Gothic"/>
          <w:sz w:val="24"/>
          <w:szCs w:val="24"/>
        </w:rPr>
        <w:t xml:space="preserve">concurre con la iniciativa de la </w:t>
      </w:r>
      <w:r>
        <w:rPr>
          <w:rFonts w:ascii="Book Antiqua" w:eastAsia="Malgun Gothic" w:hAnsi="Book Antiqua" w:cs="Malgun Gothic"/>
          <w:sz w:val="24"/>
          <w:szCs w:val="24"/>
        </w:rPr>
        <w:t>medida y</w:t>
      </w:r>
      <w:r w:rsidRPr="005B723B">
        <w:rPr>
          <w:rFonts w:ascii="Book Antiqua" w:eastAsia="Malgun Gothic" w:hAnsi="Book Antiqua" w:cs="Malgun Gothic"/>
          <w:sz w:val="24"/>
          <w:szCs w:val="24"/>
        </w:rPr>
        <w:t xml:space="preserve"> reconoce la importancia de concientizar a la ciudadanía puertorriqueña sobre la lucha contra el VIH/SIDA y la posibilidad de terminar la epidemia de dicha enfermedad, Así las cosas, avala los esfuerzos dirigidos a educar al pueblo sobre la eliminación del estigma con relación al VIH/SIDA</w:t>
      </w:r>
      <w:r>
        <w:rPr>
          <w:rFonts w:ascii="Book Antiqua" w:eastAsia="Malgun Gothic" w:hAnsi="Book Antiqua" w:cs="Malgun Gothic"/>
          <w:sz w:val="24"/>
          <w:szCs w:val="24"/>
        </w:rPr>
        <w:t>,</w:t>
      </w:r>
      <w:r w:rsidRPr="005B723B">
        <w:rPr>
          <w:rFonts w:ascii="Book Antiqua" w:eastAsia="Malgun Gothic" w:hAnsi="Book Antiqua" w:cs="Malgun Gothic"/>
          <w:sz w:val="24"/>
          <w:szCs w:val="24"/>
        </w:rPr>
        <w:t xml:space="preserve"> los métodos de prevención de contagios, la solidaridad con las personas con diagnostico positivo y otros asuntos relacionados a la enfermedad del VIH/SIDA, según esbozado en la medida legislativa de referencia.</w:t>
      </w:r>
    </w:p>
    <w:p w14:paraId="5ABFB91C" w14:textId="16F53898" w:rsidR="005B723B" w:rsidRDefault="005B723B" w:rsidP="00EF2DDF">
      <w:pPr>
        <w:spacing w:after="194"/>
        <w:ind w:left="28" w:right="24" w:firstLine="692"/>
        <w:jc w:val="both"/>
        <w:rPr>
          <w:rFonts w:ascii="Book Antiqua" w:eastAsia="Malgun Gothic" w:hAnsi="Book Antiqua" w:cs="Malgun Gothic"/>
          <w:sz w:val="24"/>
          <w:szCs w:val="24"/>
        </w:rPr>
      </w:pPr>
      <w:r w:rsidRPr="005B723B">
        <w:rPr>
          <w:rFonts w:ascii="Book Antiqua" w:eastAsia="Malgun Gothic" w:hAnsi="Book Antiqua" w:cs="Malgun Gothic"/>
          <w:sz w:val="24"/>
          <w:szCs w:val="24"/>
        </w:rPr>
        <w:t xml:space="preserve">En virtud de lo anterior, </w:t>
      </w:r>
      <w:r>
        <w:rPr>
          <w:rFonts w:ascii="Book Antiqua" w:eastAsia="Malgun Gothic" w:hAnsi="Book Antiqua" w:cs="Malgun Gothic"/>
          <w:sz w:val="24"/>
          <w:szCs w:val="24"/>
        </w:rPr>
        <w:t>informó</w:t>
      </w:r>
      <w:r w:rsidRPr="005B723B">
        <w:rPr>
          <w:rFonts w:ascii="Book Antiqua" w:eastAsia="Malgun Gothic" w:hAnsi="Book Antiqua" w:cs="Malgun Gothic"/>
          <w:sz w:val="24"/>
          <w:szCs w:val="24"/>
        </w:rPr>
        <w:t xml:space="preserve"> que el día 1 de diciembre de cada año figura como fecha hábil en el calendario oficial de</w:t>
      </w:r>
      <w:r w:rsidR="00EC0EE6">
        <w:rPr>
          <w:rFonts w:ascii="Book Antiqua" w:eastAsia="Malgun Gothic" w:hAnsi="Book Antiqua" w:cs="Malgun Gothic"/>
          <w:sz w:val="24"/>
          <w:szCs w:val="24"/>
        </w:rPr>
        <w:t>l</w:t>
      </w:r>
      <w:r w:rsidRPr="005B723B">
        <w:rPr>
          <w:rFonts w:ascii="Book Antiqua" w:eastAsia="Malgun Gothic" w:hAnsi="Book Antiqua" w:cs="Malgun Gothic"/>
          <w:sz w:val="24"/>
          <w:szCs w:val="24"/>
        </w:rPr>
        <w:t xml:space="preserve"> Departamento de Estado para que se designe como el "Día Mundial del SIDA".</w:t>
      </w:r>
    </w:p>
    <w:p w14:paraId="69D8DA3B" w14:textId="6AC03630" w:rsidR="00931A95" w:rsidRDefault="00931A95" w:rsidP="004215A8">
      <w:pPr>
        <w:ind w:firstLine="720"/>
        <w:jc w:val="center"/>
        <w:rPr>
          <w:rFonts w:ascii="Book Antiqua" w:eastAsia="Malgun Gothic" w:hAnsi="Book Antiqua" w:cs="Malgun Gothic"/>
          <w:sz w:val="24"/>
          <w:szCs w:val="24"/>
          <w:u w:val="single"/>
        </w:rPr>
      </w:pPr>
      <w:r w:rsidRPr="00931A95">
        <w:rPr>
          <w:rFonts w:ascii="Book Antiqua" w:eastAsia="Malgun Gothic" w:hAnsi="Book Antiqua" w:cs="Malgun Gothic"/>
          <w:sz w:val="24"/>
          <w:szCs w:val="24"/>
          <w:u w:val="single"/>
        </w:rPr>
        <w:t xml:space="preserve">Departamento de Educación </w:t>
      </w:r>
    </w:p>
    <w:p w14:paraId="705C1CD9" w14:textId="14281B06" w:rsidR="00931A95" w:rsidRDefault="00931A95" w:rsidP="00931A95">
      <w:pPr>
        <w:ind w:firstLine="720"/>
        <w:jc w:val="both"/>
        <w:rPr>
          <w:rFonts w:ascii="Book Antiqua" w:eastAsia="Malgun Gothic" w:hAnsi="Book Antiqua" w:cs="Malgun Gothic"/>
          <w:sz w:val="24"/>
          <w:szCs w:val="24"/>
        </w:rPr>
      </w:pPr>
      <w:r>
        <w:rPr>
          <w:rFonts w:ascii="Book Antiqua" w:eastAsia="Malgun Gothic" w:hAnsi="Book Antiqua" w:cs="Malgun Gothic"/>
          <w:sz w:val="24"/>
          <w:szCs w:val="24"/>
        </w:rPr>
        <w:t xml:space="preserve">La Secretaria designada del </w:t>
      </w:r>
      <w:r w:rsidRPr="00931A95">
        <w:rPr>
          <w:rFonts w:ascii="Book Antiqua" w:eastAsia="Malgun Gothic" w:hAnsi="Book Antiqua" w:cs="Malgun Gothic"/>
          <w:b/>
          <w:bCs/>
          <w:sz w:val="24"/>
          <w:szCs w:val="24"/>
        </w:rPr>
        <w:t>Departamento de Educación</w:t>
      </w:r>
      <w:r>
        <w:rPr>
          <w:rFonts w:ascii="Book Antiqua" w:eastAsia="Malgun Gothic" w:hAnsi="Book Antiqua" w:cs="Malgun Gothic"/>
          <w:sz w:val="24"/>
          <w:szCs w:val="24"/>
        </w:rPr>
        <w:t xml:space="preserve">, Yanira I. Raíces Vega, Ed. D., sometió un memorial explicativo en representación de dicha agencia donde </w:t>
      </w:r>
      <w:r w:rsidRPr="00931A95">
        <w:rPr>
          <w:rFonts w:ascii="Book Antiqua" w:eastAsia="Malgun Gothic" w:hAnsi="Book Antiqua" w:cs="Malgun Gothic"/>
          <w:sz w:val="24"/>
          <w:szCs w:val="24"/>
          <w:u w:val="single"/>
        </w:rPr>
        <w:t>favorece la aprobación de la medida</w:t>
      </w:r>
      <w:r>
        <w:rPr>
          <w:rFonts w:ascii="Book Antiqua" w:eastAsia="Malgun Gothic" w:hAnsi="Book Antiqua" w:cs="Malgun Gothic"/>
          <w:sz w:val="24"/>
          <w:szCs w:val="24"/>
        </w:rPr>
        <w:t>.</w:t>
      </w:r>
    </w:p>
    <w:p w14:paraId="0A13115E" w14:textId="026399FB" w:rsidR="00931A95" w:rsidRDefault="00931A95" w:rsidP="00931A95">
      <w:pPr>
        <w:ind w:firstLine="720"/>
        <w:jc w:val="both"/>
        <w:rPr>
          <w:rFonts w:ascii="Book Antiqua" w:eastAsia="Malgun Gothic" w:hAnsi="Book Antiqua" w:cs="Malgun Gothic"/>
          <w:sz w:val="24"/>
          <w:szCs w:val="24"/>
        </w:rPr>
      </w:pPr>
      <w:r>
        <w:rPr>
          <w:rFonts w:ascii="Book Antiqua" w:eastAsia="Malgun Gothic" w:hAnsi="Book Antiqua" w:cs="Malgun Gothic"/>
          <w:sz w:val="24"/>
          <w:szCs w:val="24"/>
        </w:rPr>
        <w:t xml:space="preserve">En su escrito, plantea que el Departamento se rige </w:t>
      </w:r>
      <w:r w:rsidRPr="00931A95">
        <w:rPr>
          <w:rFonts w:ascii="Book Antiqua" w:eastAsia="Malgun Gothic" w:hAnsi="Book Antiqua" w:cs="Malgun Gothic"/>
          <w:sz w:val="24"/>
          <w:szCs w:val="24"/>
        </w:rPr>
        <w:t xml:space="preserve">por la Ley núm. 85-2018, según enmendada, conocida como la «Ley de Reforma Educativa de Puerto Rico», en la que se dispone que su misión es garantizar que cada estudiante desarrolle las capacidades y los talentos necesarios para promover ciudadanos productivos, respetuosos de la ley y capaces de contribuir al bienestar común. Además, la Ley 85 establece, como parte de su política pública, que el estudiante desarrolle </w:t>
      </w:r>
      <w:r>
        <w:rPr>
          <w:rFonts w:ascii="Book Antiqua" w:eastAsia="Malgun Gothic" w:hAnsi="Book Antiqua" w:cs="Malgun Gothic"/>
          <w:sz w:val="24"/>
          <w:szCs w:val="24"/>
        </w:rPr>
        <w:t>“</w:t>
      </w:r>
      <w:r w:rsidRPr="00931A95">
        <w:rPr>
          <w:rFonts w:ascii="Book Antiqua" w:eastAsia="Malgun Gothic" w:hAnsi="Book Antiqua" w:cs="Malgun Gothic"/>
          <w:sz w:val="24"/>
          <w:szCs w:val="24"/>
        </w:rPr>
        <w:t>Conciencia de la necesidad de una buena condición física y del valor de la vida, haciendo énfasis en la importancia de cuidar la salud, tanto en su dimensión física, como en la mental y emocional</w:t>
      </w:r>
      <w:r>
        <w:rPr>
          <w:rFonts w:ascii="Book Antiqua" w:eastAsia="Malgun Gothic" w:hAnsi="Book Antiqua" w:cs="Malgun Gothic"/>
          <w:sz w:val="24"/>
          <w:szCs w:val="24"/>
        </w:rPr>
        <w:t xml:space="preserve">”. </w:t>
      </w:r>
    </w:p>
    <w:p w14:paraId="02A09FA5" w14:textId="6B016B4F" w:rsidR="00931A95" w:rsidRDefault="00931A95" w:rsidP="00931A95">
      <w:pPr>
        <w:ind w:firstLine="720"/>
        <w:jc w:val="both"/>
        <w:rPr>
          <w:rFonts w:ascii="Book Antiqua" w:eastAsia="Malgun Gothic" w:hAnsi="Book Antiqua" w:cs="Malgun Gothic"/>
          <w:sz w:val="24"/>
          <w:szCs w:val="24"/>
        </w:rPr>
      </w:pPr>
      <w:r>
        <w:rPr>
          <w:rFonts w:ascii="Book Antiqua" w:eastAsia="Malgun Gothic" w:hAnsi="Book Antiqua" w:cs="Malgun Gothic"/>
          <w:sz w:val="24"/>
          <w:szCs w:val="24"/>
        </w:rPr>
        <w:lastRenderedPageBreak/>
        <w:t xml:space="preserve">La Secretaria designada plantea que a </w:t>
      </w:r>
      <w:r w:rsidRPr="00931A95">
        <w:rPr>
          <w:rFonts w:ascii="Book Antiqua" w:eastAsia="Malgun Gothic" w:hAnsi="Book Antiqua" w:cs="Malgun Gothic"/>
          <w:sz w:val="24"/>
          <w:szCs w:val="24"/>
        </w:rPr>
        <w:t>pesar de los avances de la ciencia en el diagnóstico y tratamiento de esta, se siguen reportando nuevos casos de contagio. Puerto Rico es una de las jurisdicciones de Estados Unidos con la incidencia y prevalencia más alta del virus de inmunodeficiencia humana (VIH)</w:t>
      </w:r>
      <w:r w:rsidR="007E6199">
        <w:rPr>
          <w:rFonts w:ascii="Book Antiqua" w:eastAsia="Malgun Gothic" w:hAnsi="Book Antiqua" w:cs="Malgun Gothic"/>
          <w:sz w:val="24"/>
          <w:szCs w:val="24"/>
        </w:rPr>
        <w:t>.</w:t>
      </w:r>
      <w:r w:rsidRPr="00931A95">
        <w:rPr>
          <w:rFonts w:ascii="Book Antiqua" w:eastAsia="Malgun Gothic" w:hAnsi="Book Antiqua" w:cs="Malgun Gothic"/>
          <w:sz w:val="24"/>
          <w:szCs w:val="24"/>
        </w:rPr>
        <w:t xml:space="preserve">  Para el año 2022, ya suman 50</w:t>
      </w:r>
      <w:r w:rsidR="007E6199">
        <w:rPr>
          <w:rFonts w:ascii="Book Antiqua" w:eastAsia="Malgun Gothic" w:hAnsi="Book Antiqua" w:cs="Malgun Gothic"/>
          <w:sz w:val="24"/>
          <w:szCs w:val="24"/>
        </w:rPr>
        <w:t>,</w:t>
      </w:r>
      <w:r w:rsidRPr="00931A95">
        <w:rPr>
          <w:rFonts w:ascii="Book Antiqua" w:eastAsia="Malgun Gothic" w:hAnsi="Book Antiqua" w:cs="Malgun Gothic"/>
          <w:sz w:val="24"/>
          <w:szCs w:val="24"/>
        </w:rPr>
        <w:t xml:space="preserve"> 614 las personas contagiadas con este</w:t>
      </w:r>
      <w:r w:rsidR="007E6199" w:rsidRPr="007E6199">
        <w:t xml:space="preserve"> </w:t>
      </w:r>
      <w:r w:rsidR="007E6199" w:rsidRPr="007E6199">
        <w:rPr>
          <w:rFonts w:ascii="Book Antiqua" w:eastAsia="Malgun Gothic" w:hAnsi="Book Antiqua" w:cs="Malgun Gothic"/>
          <w:sz w:val="24"/>
          <w:szCs w:val="24"/>
        </w:rPr>
        <w:t>virus.</w:t>
      </w:r>
      <w:r w:rsidR="007E6199" w:rsidRPr="007E6199">
        <w:t xml:space="preserve"> </w:t>
      </w:r>
      <w:r w:rsidR="007E6199" w:rsidRPr="007E6199">
        <w:rPr>
          <w:rFonts w:ascii="Book Antiqua" w:eastAsia="Malgun Gothic" w:hAnsi="Book Antiqua" w:cs="Malgun Gothic"/>
          <w:sz w:val="24"/>
          <w:szCs w:val="24"/>
        </w:rPr>
        <w:t>Ciertamente, el tema sigue siendo relevante, sobre todo, para las personas contagiadas y sus familiares</w:t>
      </w:r>
      <w:r w:rsidR="007E6199">
        <w:rPr>
          <w:rFonts w:ascii="Book Antiqua" w:eastAsia="Malgun Gothic" w:hAnsi="Book Antiqua" w:cs="Malgun Gothic"/>
          <w:sz w:val="24"/>
          <w:szCs w:val="24"/>
        </w:rPr>
        <w:t>.</w:t>
      </w:r>
    </w:p>
    <w:p w14:paraId="0FF951B5" w14:textId="0CA8060B" w:rsidR="00931A95" w:rsidRDefault="007E6199" w:rsidP="007E6199">
      <w:pPr>
        <w:ind w:firstLine="720"/>
        <w:jc w:val="both"/>
        <w:rPr>
          <w:rFonts w:ascii="Book Antiqua" w:eastAsia="Malgun Gothic" w:hAnsi="Book Antiqua" w:cs="Malgun Gothic"/>
          <w:sz w:val="24"/>
          <w:szCs w:val="24"/>
          <w:u w:val="single"/>
        </w:rPr>
      </w:pPr>
      <w:r>
        <w:rPr>
          <w:rFonts w:ascii="Book Antiqua" w:eastAsia="Malgun Gothic" w:hAnsi="Book Antiqua" w:cs="Malgun Gothic"/>
          <w:sz w:val="24"/>
          <w:szCs w:val="24"/>
        </w:rPr>
        <w:t xml:space="preserve">Por otra parte, menciona que la </w:t>
      </w:r>
      <w:r w:rsidRPr="007E6199">
        <w:rPr>
          <w:rFonts w:ascii="Book Antiqua" w:eastAsia="Malgun Gothic" w:hAnsi="Book Antiqua" w:cs="Malgun Gothic"/>
          <w:sz w:val="24"/>
          <w:szCs w:val="24"/>
        </w:rPr>
        <w:t xml:space="preserve">medida de epígrafe busca que el </w:t>
      </w:r>
      <w:r>
        <w:rPr>
          <w:rFonts w:ascii="Book Antiqua" w:eastAsia="Malgun Gothic" w:hAnsi="Book Antiqua" w:cs="Malgun Gothic"/>
          <w:sz w:val="24"/>
          <w:szCs w:val="24"/>
        </w:rPr>
        <w:t>Departamento</w:t>
      </w:r>
      <w:r w:rsidRPr="007E6199">
        <w:rPr>
          <w:rFonts w:ascii="Book Antiqua" w:eastAsia="Malgun Gothic" w:hAnsi="Book Antiqua" w:cs="Malgun Gothic"/>
          <w:sz w:val="24"/>
          <w:szCs w:val="24"/>
        </w:rPr>
        <w:t xml:space="preserve"> colabore con el Departamento de Salud para confeccionar actividades educativas para la población general. </w:t>
      </w:r>
      <w:r>
        <w:rPr>
          <w:rFonts w:ascii="Book Antiqua" w:eastAsia="Malgun Gothic" w:hAnsi="Book Antiqua" w:cs="Malgun Gothic"/>
          <w:sz w:val="24"/>
          <w:szCs w:val="24"/>
        </w:rPr>
        <w:t>Su</w:t>
      </w:r>
      <w:r w:rsidRPr="007E6199">
        <w:rPr>
          <w:rFonts w:ascii="Book Antiqua" w:eastAsia="Malgun Gothic" w:hAnsi="Book Antiqua" w:cs="Malgun Gothic"/>
          <w:sz w:val="24"/>
          <w:szCs w:val="24"/>
        </w:rPr>
        <w:t xml:space="preserve"> agencia está comprometida con el bienestar de </w:t>
      </w:r>
      <w:r>
        <w:rPr>
          <w:rFonts w:ascii="Book Antiqua" w:eastAsia="Malgun Gothic" w:hAnsi="Book Antiqua" w:cs="Malgun Gothic"/>
          <w:sz w:val="24"/>
          <w:szCs w:val="24"/>
        </w:rPr>
        <w:t>l</w:t>
      </w:r>
      <w:r w:rsidRPr="007E6199">
        <w:rPr>
          <w:rFonts w:ascii="Book Antiqua" w:eastAsia="Malgun Gothic" w:hAnsi="Book Antiqua" w:cs="Malgun Gothic"/>
          <w:sz w:val="24"/>
          <w:szCs w:val="24"/>
        </w:rPr>
        <w:t>os estudiantes, quienes pueden verse afectados física y mentalmente por este virus. Por estas razones, el respalda la aprobación de la medida</w:t>
      </w:r>
      <w:r>
        <w:rPr>
          <w:rFonts w:ascii="Book Antiqua" w:eastAsia="Malgun Gothic" w:hAnsi="Book Antiqua" w:cs="Malgun Gothic"/>
          <w:sz w:val="24"/>
          <w:szCs w:val="24"/>
        </w:rPr>
        <w:t>.</w:t>
      </w:r>
    </w:p>
    <w:p w14:paraId="41152E0D" w14:textId="71F54805" w:rsidR="004215A8" w:rsidRPr="004808FB" w:rsidRDefault="004215A8" w:rsidP="004215A8">
      <w:pPr>
        <w:ind w:firstLine="720"/>
        <w:jc w:val="center"/>
        <w:rPr>
          <w:rFonts w:ascii="Book Antiqua" w:eastAsia="Malgun Gothic" w:hAnsi="Book Antiqua" w:cs="Malgun Gothic"/>
          <w:sz w:val="24"/>
          <w:szCs w:val="24"/>
          <w:u w:val="single"/>
        </w:rPr>
      </w:pPr>
      <w:r w:rsidRPr="004808FB">
        <w:rPr>
          <w:rFonts w:ascii="Book Antiqua" w:eastAsia="Malgun Gothic" w:hAnsi="Book Antiqua" w:cs="Malgun Gothic"/>
          <w:sz w:val="24"/>
          <w:szCs w:val="24"/>
          <w:u w:val="single"/>
        </w:rPr>
        <w:t>Departamento de Salud</w:t>
      </w:r>
    </w:p>
    <w:p w14:paraId="0E04D59F" w14:textId="1D379078" w:rsidR="004215A8" w:rsidRPr="004B1B66" w:rsidRDefault="004215A8" w:rsidP="00517E22">
      <w:pPr>
        <w:spacing w:after="194"/>
        <w:ind w:left="28" w:right="24" w:firstLine="692"/>
        <w:jc w:val="both"/>
        <w:rPr>
          <w:rFonts w:ascii="Book Antiqua" w:eastAsia="Malgun Gothic" w:hAnsi="Book Antiqua" w:cs="Malgun Gothic"/>
          <w:sz w:val="24"/>
          <w:szCs w:val="24"/>
        </w:rPr>
      </w:pPr>
      <w:r w:rsidRPr="004808FB">
        <w:rPr>
          <w:rFonts w:ascii="Book Antiqua" w:eastAsia="Malgun Gothic" w:hAnsi="Book Antiqua" w:cs="Malgun Gothic"/>
          <w:sz w:val="24"/>
          <w:szCs w:val="24"/>
        </w:rPr>
        <w:t xml:space="preserve">El </w:t>
      </w:r>
      <w:r w:rsidRPr="004808FB">
        <w:rPr>
          <w:rFonts w:ascii="Book Antiqua" w:eastAsia="Malgun Gothic" w:hAnsi="Book Antiqua" w:cs="Malgun Gothic"/>
          <w:b/>
          <w:bCs/>
          <w:sz w:val="24"/>
          <w:szCs w:val="24"/>
        </w:rPr>
        <w:t>Departamento de Salud</w:t>
      </w:r>
      <w:r w:rsidRPr="004808FB">
        <w:rPr>
          <w:rFonts w:ascii="Book Antiqua" w:eastAsia="Malgun Gothic" w:hAnsi="Book Antiqua" w:cs="Malgun Gothic"/>
          <w:sz w:val="24"/>
          <w:szCs w:val="24"/>
        </w:rPr>
        <w:t xml:space="preserve">, sometió un Memorial Explicativo </w:t>
      </w:r>
      <w:r w:rsidR="007E6199">
        <w:rPr>
          <w:rFonts w:ascii="Book Antiqua" w:eastAsia="Malgun Gothic" w:hAnsi="Book Antiqua" w:cs="Malgun Gothic"/>
          <w:sz w:val="24"/>
          <w:szCs w:val="24"/>
        </w:rPr>
        <w:t xml:space="preserve">a la Comision de Salud de la Cámara de Representantes, luego de haber </w:t>
      </w:r>
      <w:r w:rsidR="007E6199" w:rsidRPr="007E6199">
        <w:rPr>
          <w:rFonts w:ascii="Book Antiqua" w:eastAsia="Malgun Gothic" w:hAnsi="Book Antiqua" w:cs="Malgun Gothic"/>
          <w:sz w:val="24"/>
          <w:szCs w:val="24"/>
        </w:rPr>
        <w:t>revisado la medida y consultar la misma con los funcionarios de la División de Prevención de ETS/VIH y Hepatitis virales, la cual está adscrita a la Oficina Central de Asuntos del SIDA y Enfermedades Transmisibles (OCASET) de la Secretaría Auxiliar de Salud Familiar, Servicios Integrados y Promoción de la Salud (SASFSIPS) del Departamento de Salud</w:t>
      </w:r>
      <w:r w:rsidR="007E6199">
        <w:rPr>
          <w:rFonts w:ascii="Book Antiqua" w:eastAsia="Malgun Gothic" w:hAnsi="Book Antiqua" w:cs="Malgun Gothic"/>
          <w:sz w:val="24"/>
          <w:szCs w:val="24"/>
        </w:rPr>
        <w:t xml:space="preserve">. </w:t>
      </w:r>
      <w:r w:rsidR="004B1B66">
        <w:rPr>
          <w:rFonts w:ascii="Book Antiqua" w:eastAsia="Malgun Gothic" w:hAnsi="Book Antiqua" w:cs="Malgun Gothic"/>
          <w:sz w:val="24"/>
          <w:szCs w:val="24"/>
        </w:rPr>
        <w:t xml:space="preserve">En su escrito </w:t>
      </w:r>
      <w:r w:rsidR="004B1B66" w:rsidRPr="004B1B66">
        <w:rPr>
          <w:rFonts w:ascii="Book Antiqua" w:eastAsia="Malgun Gothic" w:hAnsi="Book Antiqua" w:cs="Malgun Gothic"/>
          <w:sz w:val="24"/>
          <w:szCs w:val="24"/>
          <w:u w:val="single"/>
        </w:rPr>
        <w:t>favorece la aprobación del</w:t>
      </w:r>
      <w:r w:rsidR="00517E22" w:rsidRPr="004B1B66">
        <w:rPr>
          <w:rFonts w:ascii="Book Antiqua" w:eastAsia="Malgun Gothic" w:hAnsi="Book Antiqua" w:cs="Malgun Gothic"/>
          <w:sz w:val="24"/>
          <w:szCs w:val="24"/>
          <w:u w:val="single"/>
        </w:rPr>
        <w:t xml:space="preserve"> Proyecto de la Cámara 1</w:t>
      </w:r>
      <w:r w:rsidR="004B1B66" w:rsidRPr="004B1B66">
        <w:rPr>
          <w:rFonts w:ascii="Book Antiqua" w:eastAsia="Malgun Gothic" w:hAnsi="Book Antiqua" w:cs="Malgun Gothic"/>
          <w:sz w:val="24"/>
          <w:szCs w:val="24"/>
          <w:u w:val="single"/>
        </w:rPr>
        <w:t>083</w:t>
      </w:r>
      <w:r w:rsidR="00517E22" w:rsidRPr="004B1B66">
        <w:rPr>
          <w:rFonts w:ascii="Book Antiqua" w:eastAsia="Malgun Gothic" w:hAnsi="Book Antiqua" w:cs="Malgun Gothic"/>
          <w:sz w:val="24"/>
          <w:szCs w:val="24"/>
        </w:rPr>
        <w:t>.</w:t>
      </w:r>
      <w:r w:rsidR="00517E22" w:rsidRPr="00517E22">
        <w:rPr>
          <w:rFonts w:ascii="Book Antiqua" w:eastAsia="Malgun Gothic" w:hAnsi="Book Antiqua" w:cs="Malgun Gothic"/>
          <w:i/>
          <w:iCs/>
          <w:sz w:val="24"/>
          <w:szCs w:val="24"/>
        </w:rPr>
        <w:t xml:space="preserve"> </w:t>
      </w:r>
    </w:p>
    <w:p w14:paraId="15A22FF4" w14:textId="696D2168" w:rsidR="007F0D54" w:rsidRDefault="007E6199" w:rsidP="00761244">
      <w:pPr>
        <w:spacing w:after="194"/>
        <w:ind w:left="28" w:right="24" w:firstLine="692"/>
        <w:jc w:val="both"/>
        <w:rPr>
          <w:rFonts w:ascii="Book Antiqua" w:hAnsi="Book Antiqua"/>
        </w:rPr>
      </w:pPr>
      <w:r>
        <w:rPr>
          <w:rFonts w:ascii="Book Antiqua" w:eastAsia="Malgun Gothic" w:hAnsi="Book Antiqua" w:cs="Malgun Gothic"/>
          <w:sz w:val="24"/>
          <w:szCs w:val="24"/>
        </w:rPr>
        <w:t>E</w:t>
      </w:r>
      <w:r w:rsidRPr="007E6199">
        <w:rPr>
          <w:rFonts w:ascii="Book Antiqua" w:eastAsia="Malgun Gothic" w:hAnsi="Book Antiqua" w:cs="Malgun Gothic"/>
          <w:sz w:val="24"/>
          <w:szCs w:val="24"/>
        </w:rPr>
        <w:t xml:space="preserve">l Secretario de Salud, reconociendo su deber constitucional de velar por la salud del pueblo y cumpliendo con la política pública del Gobierno de Puerto Rico, tiene la responsabilidad de fijar los objetivos de salud del pueblo de Puerto Rico y desarrollar estrategias para </w:t>
      </w:r>
      <w:r w:rsidRPr="006B0106">
        <w:rPr>
          <w:rFonts w:ascii="Book Antiqua" w:eastAsia="Malgun Gothic" w:hAnsi="Book Antiqua" w:cs="Malgun Gothic"/>
          <w:sz w:val="24"/>
          <w:szCs w:val="24"/>
        </w:rPr>
        <w:t>proteger la salud del pueblo y prevenir cualquier riesgo inminente de infecciones por el virus de inmunodeficiencia humana (VIH). La severidad de la epidemia del VIH en Puerto Rico es evidenciada anualmente</w:t>
      </w:r>
      <w:r w:rsidR="006B0106" w:rsidRPr="006B0106">
        <w:rPr>
          <w:rFonts w:ascii="Book Antiqua" w:eastAsia="Malgun Gothic" w:hAnsi="Book Antiqua" w:cs="Malgun Gothic"/>
          <w:sz w:val="24"/>
          <w:szCs w:val="24"/>
        </w:rPr>
        <w:t>. Mencionó que c</w:t>
      </w:r>
      <w:r w:rsidRPr="006B0106">
        <w:rPr>
          <w:rFonts w:ascii="Book Antiqua" w:hAnsi="Book Antiqua"/>
          <w:sz w:val="24"/>
          <w:szCs w:val="24"/>
        </w:rPr>
        <w:t>uatro de cada cinco personas diagnosticadas con el VIH presentan el criterio de diagnóstico de la etapa 3 de la infección con el VIH, denominada como el Síndrome de Inmunodeficiencia Adquirida (SIDA). Se estima que un 8.8% de las personas vivas con el virus de VIH no tienen conocimiento de su estatus seropositivo.</w:t>
      </w:r>
      <w:r>
        <w:rPr>
          <w:rFonts w:ascii="Book Antiqua" w:hAnsi="Book Antiqua"/>
        </w:rPr>
        <w:t xml:space="preserve"> </w:t>
      </w:r>
    </w:p>
    <w:p w14:paraId="24693CA7" w14:textId="06E9E5DA" w:rsidR="006B0106" w:rsidRDefault="006B0106" w:rsidP="00761244">
      <w:pPr>
        <w:spacing w:after="194"/>
        <w:ind w:left="28" w:right="24" w:firstLine="692"/>
        <w:jc w:val="both"/>
        <w:rPr>
          <w:rFonts w:ascii="Book Antiqua" w:eastAsia="Malgun Gothic" w:hAnsi="Book Antiqua" w:cs="Malgun Gothic"/>
          <w:sz w:val="24"/>
          <w:szCs w:val="24"/>
        </w:rPr>
      </w:pPr>
      <w:r>
        <w:rPr>
          <w:rFonts w:ascii="Book Antiqua" w:eastAsia="Malgun Gothic" w:hAnsi="Book Antiqua" w:cs="Malgun Gothic"/>
          <w:sz w:val="24"/>
          <w:szCs w:val="24"/>
        </w:rPr>
        <w:t>Continuó su escrito indicando que</w:t>
      </w:r>
      <w:r w:rsidRPr="006B0106">
        <w:rPr>
          <w:rFonts w:ascii="Book Antiqua" w:eastAsia="Malgun Gothic" w:hAnsi="Book Antiqua" w:cs="Malgun Gothic"/>
          <w:sz w:val="24"/>
          <w:szCs w:val="24"/>
        </w:rPr>
        <w:t xml:space="preserve"> investigaciones de los últimos años han demostrado que las personas con VIH que toman medicamentos antirretrovirales logran y mantienen una carga viral indetectable, no solo protegiendo su salud, sino que también disminuye el riesgo de transmitir el VIH a través de las relaciones sexuales. Estas y otras medidas han logrado aumentar la longevidad de las personas con diagnóstico de VIH y la reducción de la mortalidad por causa del SIDA, mejorando de esta manera su calidad de vida. No obstante, es menester y en virtud de lo anterior, que </w:t>
      </w:r>
      <w:r>
        <w:rPr>
          <w:rFonts w:ascii="Book Antiqua" w:eastAsia="Malgun Gothic" w:hAnsi="Book Antiqua" w:cs="Malgun Gothic"/>
          <w:sz w:val="24"/>
          <w:szCs w:val="24"/>
        </w:rPr>
        <w:t>entiende</w:t>
      </w:r>
      <w:r w:rsidRPr="006B0106">
        <w:rPr>
          <w:rFonts w:ascii="Book Antiqua" w:eastAsia="Malgun Gothic" w:hAnsi="Book Antiqua" w:cs="Malgun Gothic"/>
          <w:sz w:val="24"/>
          <w:szCs w:val="24"/>
        </w:rPr>
        <w:t xml:space="preserve"> debemos continuar desarrollando estrategias para proteger la salud del Pueblo. Por lo que designar mediante ley el día 1 de diciembre como el “Día Mundial del SIDA”, constituye </w:t>
      </w:r>
      <w:r w:rsidRPr="006B0106">
        <w:rPr>
          <w:rFonts w:ascii="Book Antiqua" w:eastAsia="Malgun Gothic" w:hAnsi="Book Antiqua" w:cs="Malgun Gothic"/>
          <w:sz w:val="24"/>
          <w:szCs w:val="24"/>
        </w:rPr>
        <w:lastRenderedPageBreak/>
        <w:t>la ocasión propicia para concienciar a la población general sobre la importancia de reforzar las actividades dirigidas a la prevención y detección temprana de las infecciones por VIH en Puerto Rico, así como reconocer aquellas personas que han fallecido por causa del SIDA, renovar el compromiso para eliminar el discrimen y las prácticas que perpetúen el estigma que a su vez hacen más vulnerables a las personas con diagnóstico de VIH y SIDA.</w:t>
      </w:r>
    </w:p>
    <w:p w14:paraId="2D4E6B07" w14:textId="1283218B" w:rsidR="006B0106" w:rsidRPr="00761244" w:rsidRDefault="006B0106" w:rsidP="00761244">
      <w:pPr>
        <w:spacing w:after="194"/>
        <w:ind w:left="28" w:right="24" w:firstLine="692"/>
        <w:jc w:val="both"/>
        <w:rPr>
          <w:rFonts w:ascii="Book Antiqua" w:eastAsia="Malgun Gothic" w:hAnsi="Book Antiqua" w:cs="Malgun Gothic"/>
          <w:sz w:val="24"/>
          <w:szCs w:val="24"/>
        </w:rPr>
      </w:pPr>
      <w:r w:rsidRPr="006B0106">
        <w:rPr>
          <w:rFonts w:ascii="Book Antiqua" w:eastAsia="Malgun Gothic" w:hAnsi="Book Antiqua" w:cs="Malgun Gothic"/>
          <w:sz w:val="24"/>
          <w:szCs w:val="24"/>
        </w:rPr>
        <w:t xml:space="preserve">Por último, </w:t>
      </w:r>
      <w:r>
        <w:rPr>
          <w:rFonts w:ascii="Book Antiqua" w:eastAsia="Malgun Gothic" w:hAnsi="Book Antiqua" w:cs="Malgun Gothic"/>
          <w:sz w:val="24"/>
          <w:szCs w:val="24"/>
        </w:rPr>
        <w:t>recomendó</w:t>
      </w:r>
      <w:r w:rsidRPr="006B0106">
        <w:rPr>
          <w:rFonts w:ascii="Book Antiqua" w:eastAsia="Malgun Gothic" w:hAnsi="Book Antiqua" w:cs="Malgun Gothic"/>
          <w:sz w:val="24"/>
          <w:szCs w:val="24"/>
        </w:rPr>
        <w:t xml:space="preserve"> que en lugar de designar el día como “Día Mundial del SIDA” se enmiende el proyecto para que se designe como: “Día Mundial de la Concienciación y Respuesta al VIH”. La recomendación responde a las referencias que se hacen desde la comunidad internacional para recalcar los asuntos de concienciación sobre la condición del VIH mediante la prevención utilizando medidas profilácticas y medicación preventiva y sobre los asuntos de la respuesta que incluyen aspectos tanto clínicos como socio emocionales y de atención sistémica para promover la mejor calidad de vida de la persona que se diagnostica con VIH por vez primera o que vive con VIH.</w:t>
      </w:r>
    </w:p>
    <w:p w14:paraId="7F3A725E" w14:textId="4F1529C3" w:rsidR="004215A8" w:rsidRPr="004808FB" w:rsidRDefault="004215A8" w:rsidP="00204F31">
      <w:pPr>
        <w:spacing w:before="240"/>
        <w:jc w:val="center"/>
        <w:rPr>
          <w:rFonts w:ascii="Book Antiqua" w:eastAsia="Malgun Gothic" w:hAnsi="Book Antiqua" w:cs="Malgun Gothic"/>
          <w:b/>
          <w:bCs/>
          <w:sz w:val="24"/>
          <w:szCs w:val="24"/>
        </w:rPr>
      </w:pPr>
      <w:r w:rsidRPr="004808FB">
        <w:rPr>
          <w:rFonts w:ascii="Book Antiqua" w:eastAsia="Malgun Gothic" w:hAnsi="Book Antiqua" w:cs="Malgun Gothic"/>
          <w:b/>
          <w:bCs/>
          <w:sz w:val="24"/>
          <w:szCs w:val="24"/>
        </w:rPr>
        <w:t>IMPACTO FISCAL MUNICIPAL</w:t>
      </w:r>
    </w:p>
    <w:p w14:paraId="00427830" w14:textId="77777777" w:rsidR="004215A8" w:rsidRPr="004808FB" w:rsidRDefault="004215A8" w:rsidP="004215A8">
      <w:pPr>
        <w:ind w:firstLine="720"/>
        <w:jc w:val="both"/>
        <w:rPr>
          <w:rFonts w:ascii="Book Antiqua" w:eastAsia="Malgun Gothic" w:hAnsi="Book Antiqua" w:cs="Malgun Gothic"/>
          <w:sz w:val="24"/>
          <w:szCs w:val="24"/>
        </w:rPr>
      </w:pPr>
      <w:r w:rsidRPr="004808FB">
        <w:rPr>
          <w:rFonts w:ascii="Book Antiqua" w:eastAsia="Malgun Gothic" w:hAnsi="Book Antiqua" w:cs="Malgun Gothic"/>
          <w:sz w:val="24"/>
          <w:szCs w:val="24"/>
        </w:rPr>
        <w:t>En cumplimiento con el Artículo 1.007 del Código Municipal de Puerto Rico, Ley 107-2020, según enmendada, luego de evaluar la medida esta Comisión estima que la aprobación de esta medida no tendrá impacto fiscal sobre los presupuestos de los municipios, pues no genera obligaciones adicionales en exceso a los ingresos disponibles de los gobiernos municipales.</w:t>
      </w:r>
    </w:p>
    <w:p w14:paraId="33FE6F33" w14:textId="77777777" w:rsidR="004215A8" w:rsidRPr="004808FB" w:rsidRDefault="004215A8" w:rsidP="004215A8">
      <w:pPr>
        <w:jc w:val="center"/>
        <w:rPr>
          <w:rFonts w:ascii="Book Antiqua" w:eastAsia="Malgun Gothic" w:hAnsi="Book Antiqua" w:cs="Malgun Gothic"/>
          <w:sz w:val="24"/>
          <w:szCs w:val="24"/>
        </w:rPr>
      </w:pPr>
      <w:r w:rsidRPr="004808FB">
        <w:rPr>
          <w:rFonts w:ascii="Book Antiqua" w:eastAsia="Malgun Gothic" w:hAnsi="Book Antiqua" w:cs="Malgun Gothic"/>
          <w:b/>
          <w:bCs/>
          <w:sz w:val="24"/>
          <w:szCs w:val="24"/>
        </w:rPr>
        <w:t>CONCLUSIÓN</w:t>
      </w:r>
    </w:p>
    <w:p w14:paraId="4DE19061" w14:textId="78FF19E8" w:rsidR="00A5146D" w:rsidRDefault="004215A8" w:rsidP="00236CD3">
      <w:pPr>
        <w:ind w:firstLine="720"/>
        <w:jc w:val="both"/>
        <w:rPr>
          <w:rFonts w:ascii="Book Antiqua" w:hAnsi="Book Antiqua"/>
          <w:sz w:val="24"/>
          <w:szCs w:val="24"/>
          <w:lang w:val="es-ES_tradnl"/>
        </w:rPr>
      </w:pPr>
      <w:r w:rsidRPr="00236CD3">
        <w:rPr>
          <w:rFonts w:ascii="Book Antiqua" w:eastAsia="Malgun Gothic" w:hAnsi="Book Antiqua" w:cs="Malgun Gothic"/>
          <w:sz w:val="24"/>
          <w:szCs w:val="24"/>
        </w:rPr>
        <w:t>El P. de</w:t>
      </w:r>
      <w:r w:rsidR="00236CD3">
        <w:rPr>
          <w:rFonts w:ascii="Book Antiqua" w:hAnsi="Book Antiqua"/>
          <w:sz w:val="24"/>
          <w:szCs w:val="24"/>
          <w:lang w:val="es-PR"/>
        </w:rPr>
        <w:t xml:space="preserve"> la C. 1</w:t>
      </w:r>
      <w:r w:rsidR="00303303">
        <w:rPr>
          <w:rFonts w:ascii="Book Antiqua" w:hAnsi="Book Antiqua"/>
          <w:sz w:val="24"/>
          <w:szCs w:val="24"/>
          <w:lang w:val="es-PR"/>
        </w:rPr>
        <w:t>083</w:t>
      </w:r>
      <w:r w:rsidR="00236CD3">
        <w:rPr>
          <w:rFonts w:ascii="Book Antiqua" w:hAnsi="Book Antiqua"/>
          <w:sz w:val="24"/>
          <w:szCs w:val="24"/>
          <w:lang w:val="es-PR"/>
        </w:rPr>
        <w:t xml:space="preserve"> tiene como propósito </w:t>
      </w:r>
      <w:r w:rsidR="00303303" w:rsidRPr="00303303">
        <w:rPr>
          <w:rFonts w:ascii="Book Antiqua" w:hAnsi="Book Antiqua"/>
          <w:sz w:val="24"/>
          <w:szCs w:val="24"/>
        </w:rPr>
        <w:t>declarar el 1 de diciembre de cada año como el “Día de Mundial del SIDA” en el Estado Libre Asociado de Puerto Rico</w:t>
      </w:r>
      <w:r w:rsidR="00236CD3" w:rsidRPr="005E68D9">
        <w:rPr>
          <w:rFonts w:ascii="Book Antiqua" w:hAnsi="Book Antiqua"/>
          <w:sz w:val="24"/>
          <w:szCs w:val="24"/>
        </w:rPr>
        <w:t>.</w:t>
      </w:r>
      <w:r w:rsidR="00236CD3">
        <w:rPr>
          <w:rFonts w:ascii="Book Antiqua" w:hAnsi="Book Antiqua"/>
          <w:sz w:val="24"/>
          <w:szCs w:val="24"/>
          <w:lang w:val="es-PR"/>
        </w:rPr>
        <w:t xml:space="preserve"> </w:t>
      </w:r>
      <w:r w:rsidRPr="00236CD3">
        <w:rPr>
          <w:rFonts w:ascii="Book Antiqua" w:hAnsi="Book Antiqua"/>
          <w:sz w:val="24"/>
          <w:szCs w:val="24"/>
        </w:rPr>
        <w:t xml:space="preserve">La Comisión de Salud </w:t>
      </w:r>
      <w:r w:rsidRPr="00236CD3">
        <w:rPr>
          <w:rFonts w:ascii="Book Antiqua" w:hAnsi="Book Antiqua"/>
          <w:sz w:val="24"/>
          <w:szCs w:val="24"/>
          <w:lang w:val="es-ES_tradnl"/>
        </w:rPr>
        <w:t xml:space="preserve">realizó un análisis de los planteamientos realizados por </w:t>
      </w:r>
      <w:r w:rsidR="00A5146D">
        <w:rPr>
          <w:rFonts w:ascii="Book Antiqua" w:hAnsi="Book Antiqua"/>
          <w:sz w:val="24"/>
          <w:szCs w:val="24"/>
          <w:lang w:val="es-ES_tradnl"/>
        </w:rPr>
        <w:t>los sectores consultados, en los cuales favorecieron la aprobación de la medida</w:t>
      </w:r>
      <w:r w:rsidR="009D541F">
        <w:rPr>
          <w:rFonts w:ascii="Book Antiqua" w:hAnsi="Book Antiqua"/>
          <w:sz w:val="24"/>
          <w:szCs w:val="24"/>
          <w:lang w:val="es-ES_tradnl"/>
        </w:rPr>
        <w:t>.</w:t>
      </w:r>
      <w:r w:rsidR="00A5146D">
        <w:rPr>
          <w:rFonts w:ascii="Book Antiqua" w:hAnsi="Book Antiqua"/>
          <w:sz w:val="24"/>
          <w:szCs w:val="24"/>
          <w:lang w:val="es-ES_tradnl"/>
        </w:rPr>
        <w:t xml:space="preserve"> Las agencias consultadas coinciden en que </w:t>
      </w:r>
      <w:r w:rsidR="00A5146D">
        <w:rPr>
          <w:rFonts w:ascii="Book Antiqua" w:eastAsia="Malgun Gothic" w:hAnsi="Book Antiqua" w:cs="Malgun Gothic"/>
          <w:sz w:val="24"/>
          <w:szCs w:val="24"/>
        </w:rPr>
        <w:t>la medida es un esfuerzo</w:t>
      </w:r>
      <w:r w:rsidR="00A5146D" w:rsidRPr="005B723B">
        <w:rPr>
          <w:rFonts w:ascii="Book Antiqua" w:eastAsia="Malgun Gothic" w:hAnsi="Book Antiqua" w:cs="Malgun Gothic"/>
          <w:sz w:val="24"/>
          <w:szCs w:val="24"/>
        </w:rPr>
        <w:t xml:space="preserve"> dirigido a la eliminación del estigma con relación al VIH/SIDA</w:t>
      </w:r>
      <w:r w:rsidR="00A5146D">
        <w:rPr>
          <w:rFonts w:ascii="Book Antiqua" w:eastAsia="Malgun Gothic" w:hAnsi="Book Antiqua" w:cs="Malgun Gothic"/>
          <w:sz w:val="24"/>
          <w:szCs w:val="24"/>
        </w:rPr>
        <w:t xml:space="preserve">, educar sobre </w:t>
      </w:r>
      <w:r w:rsidR="00A5146D" w:rsidRPr="005B723B">
        <w:rPr>
          <w:rFonts w:ascii="Book Antiqua" w:eastAsia="Malgun Gothic" w:hAnsi="Book Antiqua" w:cs="Malgun Gothic"/>
          <w:sz w:val="24"/>
          <w:szCs w:val="24"/>
        </w:rPr>
        <w:t>los métodos de prevención de contagios</w:t>
      </w:r>
      <w:r w:rsidR="00A5146D">
        <w:t xml:space="preserve">, y a </w:t>
      </w:r>
      <w:r w:rsidR="00A5146D" w:rsidRPr="00A5146D">
        <w:rPr>
          <w:rFonts w:ascii="Book Antiqua" w:eastAsia="Malgun Gothic" w:hAnsi="Book Antiqua" w:cs="Malgun Gothic"/>
          <w:sz w:val="24"/>
          <w:szCs w:val="24"/>
        </w:rPr>
        <w:t>desarrollar estrategias para proteger la salud del pueblo y prevenir cualquier riesgo inminente de infecciones</w:t>
      </w:r>
      <w:r w:rsidR="00A5146D">
        <w:rPr>
          <w:rFonts w:ascii="Book Antiqua" w:hAnsi="Book Antiqua"/>
          <w:sz w:val="24"/>
          <w:szCs w:val="24"/>
          <w:lang w:val="es-ES_tradnl"/>
        </w:rPr>
        <w:t xml:space="preserve">.  </w:t>
      </w:r>
    </w:p>
    <w:p w14:paraId="3B7E85C9" w14:textId="7DDE2393" w:rsidR="002C7E0F" w:rsidRDefault="004215A8" w:rsidP="000E5E09">
      <w:pPr>
        <w:spacing w:before="240" w:after="0"/>
        <w:ind w:firstLine="720"/>
        <w:jc w:val="both"/>
        <w:rPr>
          <w:rFonts w:ascii="Book Antiqua" w:hAnsi="Book Antiqua"/>
          <w:sz w:val="24"/>
          <w:szCs w:val="24"/>
        </w:rPr>
      </w:pPr>
      <w:r w:rsidRPr="00236CD3">
        <w:rPr>
          <w:rFonts w:ascii="Book Antiqua" w:eastAsia="Malgun Gothic" w:hAnsi="Book Antiqua" w:cs="Malgun Gothic"/>
          <w:sz w:val="24"/>
          <w:szCs w:val="24"/>
        </w:rPr>
        <w:t xml:space="preserve">La Comisión de Salud del Senado reconoce </w:t>
      </w:r>
      <w:r w:rsidR="002772F6">
        <w:rPr>
          <w:rFonts w:ascii="Book Antiqua" w:eastAsia="Malgun Gothic" w:hAnsi="Book Antiqua" w:cs="Malgun Gothic"/>
          <w:sz w:val="24"/>
          <w:szCs w:val="24"/>
        </w:rPr>
        <w:t>la intención</w:t>
      </w:r>
      <w:r w:rsidRPr="00236CD3">
        <w:rPr>
          <w:rFonts w:ascii="Book Antiqua" w:eastAsia="Malgun Gothic" w:hAnsi="Book Antiqua" w:cs="Malgun Gothic"/>
          <w:sz w:val="24"/>
          <w:szCs w:val="24"/>
        </w:rPr>
        <w:t xml:space="preserve"> de la medida legislativa y</w:t>
      </w:r>
      <w:r w:rsidR="002772F6">
        <w:rPr>
          <w:rFonts w:ascii="Book Antiqua" w:eastAsia="Malgun Gothic" w:hAnsi="Book Antiqua" w:cs="Malgun Gothic"/>
          <w:sz w:val="24"/>
          <w:szCs w:val="24"/>
        </w:rPr>
        <w:t xml:space="preserve"> apoya que se declare </w:t>
      </w:r>
      <w:r w:rsidR="002C7E0F" w:rsidRPr="002C7E0F">
        <w:rPr>
          <w:rFonts w:ascii="Book Antiqua" w:eastAsia="Malgun Gothic" w:hAnsi="Book Antiqua" w:cs="Malgun Gothic"/>
          <w:sz w:val="24"/>
          <w:szCs w:val="24"/>
        </w:rPr>
        <w:t>el 1 de diciembre de cada año como el “Día de Mundial del SIDA”</w:t>
      </w:r>
      <w:r w:rsidR="002772F6">
        <w:rPr>
          <w:rFonts w:ascii="Book Antiqua" w:hAnsi="Book Antiqua"/>
          <w:sz w:val="24"/>
          <w:szCs w:val="24"/>
        </w:rPr>
        <w:t xml:space="preserve"> en Puerto Rico. </w:t>
      </w:r>
      <w:r w:rsidR="009A6B93">
        <w:rPr>
          <w:rFonts w:ascii="Book Antiqua" w:hAnsi="Book Antiqua"/>
          <w:sz w:val="24"/>
          <w:szCs w:val="24"/>
        </w:rPr>
        <w:t>E</w:t>
      </w:r>
      <w:r w:rsidR="00D06095">
        <w:rPr>
          <w:rFonts w:ascii="Book Antiqua" w:hAnsi="Book Antiqua"/>
          <w:sz w:val="24"/>
          <w:szCs w:val="24"/>
        </w:rPr>
        <w:t xml:space="preserve">s </w:t>
      </w:r>
      <w:r w:rsidR="009A6B93">
        <w:rPr>
          <w:rFonts w:ascii="Book Antiqua" w:hAnsi="Book Antiqua"/>
          <w:sz w:val="24"/>
          <w:szCs w:val="24"/>
        </w:rPr>
        <w:t>imperativo crear</w:t>
      </w:r>
      <w:r w:rsidR="00D06095">
        <w:rPr>
          <w:rFonts w:ascii="Book Antiqua" w:hAnsi="Book Antiqua"/>
          <w:sz w:val="24"/>
          <w:szCs w:val="24"/>
        </w:rPr>
        <w:t xml:space="preserve"> medidas legislativas que apoyen a esta población</w:t>
      </w:r>
      <w:r w:rsidR="009A6B93">
        <w:rPr>
          <w:rFonts w:ascii="Book Antiqua" w:hAnsi="Book Antiqua"/>
          <w:sz w:val="24"/>
          <w:szCs w:val="24"/>
        </w:rPr>
        <w:t xml:space="preserve"> vulnerable y que fomenten la </w:t>
      </w:r>
      <w:r w:rsidR="002C7E0F">
        <w:rPr>
          <w:rFonts w:ascii="Book Antiqua" w:hAnsi="Book Antiqua"/>
          <w:sz w:val="24"/>
          <w:szCs w:val="24"/>
        </w:rPr>
        <w:t xml:space="preserve">concientización y </w:t>
      </w:r>
      <w:r w:rsidR="009A6B93">
        <w:rPr>
          <w:rFonts w:ascii="Book Antiqua" w:hAnsi="Book Antiqua"/>
          <w:sz w:val="24"/>
          <w:szCs w:val="24"/>
        </w:rPr>
        <w:t>prevención como la</w:t>
      </w:r>
      <w:r w:rsidR="002C7E0F">
        <w:rPr>
          <w:rFonts w:ascii="Book Antiqua" w:hAnsi="Book Antiqua"/>
          <w:sz w:val="24"/>
          <w:szCs w:val="24"/>
        </w:rPr>
        <w:t>s</w:t>
      </w:r>
      <w:r w:rsidR="009A6B93">
        <w:rPr>
          <w:rFonts w:ascii="Book Antiqua" w:hAnsi="Book Antiqua"/>
          <w:sz w:val="24"/>
          <w:szCs w:val="24"/>
        </w:rPr>
        <w:t xml:space="preserve"> </w:t>
      </w:r>
      <w:r w:rsidR="00EB4A85">
        <w:rPr>
          <w:rFonts w:ascii="Book Antiqua" w:hAnsi="Book Antiqua"/>
          <w:sz w:val="24"/>
          <w:szCs w:val="24"/>
        </w:rPr>
        <w:t>mejores herramientas</w:t>
      </w:r>
      <w:r w:rsidR="009A6B93">
        <w:rPr>
          <w:rFonts w:ascii="Book Antiqua" w:hAnsi="Book Antiqua"/>
          <w:sz w:val="24"/>
          <w:szCs w:val="24"/>
        </w:rPr>
        <w:t xml:space="preserve"> para </w:t>
      </w:r>
      <w:r w:rsidR="00EB4A85">
        <w:rPr>
          <w:rFonts w:ascii="Book Antiqua" w:hAnsi="Book Antiqua"/>
          <w:sz w:val="24"/>
          <w:szCs w:val="24"/>
        </w:rPr>
        <w:t>la erradicación de enfermedades y mejorar la salud de los puertorriqueños</w:t>
      </w:r>
      <w:r w:rsidR="00D06095">
        <w:rPr>
          <w:rFonts w:ascii="Book Antiqua" w:hAnsi="Book Antiqua"/>
          <w:sz w:val="24"/>
          <w:szCs w:val="24"/>
        </w:rPr>
        <w:t>. La</w:t>
      </w:r>
      <w:r w:rsidR="000E5E09">
        <w:rPr>
          <w:rFonts w:ascii="Book Antiqua" w:hAnsi="Book Antiqua"/>
          <w:sz w:val="24"/>
          <w:szCs w:val="24"/>
        </w:rPr>
        <w:t xml:space="preserve"> Comisión </w:t>
      </w:r>
      <w:r w:rsidR="00EB4A85">
        <w:rPr>
          <w:rFonts w:ascii="Book Antiqua" w:hAnsi="Book Antiqua"/>
          <w:sz w:val="24"/>
          <w:szCs w:val="24"/>
        </w:rPr>
        <w:t>considera imperativo</w:t>
      </w:r>
      <w:r w:rsidR="00AF35F4">
        <w:rPr>
          <w:rFonts w:ascii="Book Antiqua" w:hAnsi="Book Antiqua"/>
          <w:sz w:val="24"/>
          <w:szCs w:val="24"/>
        </w:rPr>
        <w:t xml:space="preserve"> </w:t>
      </w:r>
      <w:r w:rsidR="00AF35F4" w:rsidRPr="00AF35F4">
        <w:rPr>
          <w:rFonts w:ascii="Book Antiqua" w:hAnsi="Book Antiqua"/>
          <w:sz w:val="24"/>
          <w:szCs w:val="24"/>
        </w:rPr>
        <w:t>crear conciencia sobre las enfermedades que aqueja</w:t>
      </w:r>
      <w:r w:rsidR="00646563">
        <w:rPr>
          <w:rFonts w:ascii="Book Antiqua" w:hAnsi="Book Antiqua"/>
          <w:sz w:val="24"/>
          <w:szCs w:val="24"/>
        </w:rPr>
        <w:t>n</w:t>
      </w:r>
      <w:r w:rsidR="00AF35F4" w:rsidRPr="00AF35F4">
        <w:rPr>
          <w:rFonts w:ascii="Book Antiqua" w:hAnsi="Book Antiqua"/>
          <w:sz w:val="24"/>
          <w:szCs w:val="24"/>
        </w:rPr>
        <w:t xml:space="preserve"> a nuestra población</w:t>
      </w:r>
      <w:r w:rsidR="00AF35F4">
        <w:rPr>
          <w:rFonts w:ascii="Book Antiqua" w:hAnsi="Book Antiqua"/>
          <w:sz w:val="24"/>
          <w:szCs w:val="24"/>
        </w:rPr>
        <w:t>,</w:t>
      </w:r>
      <w:r w:rsidR="00AF35F4" w:rsidRPr="00AF35F4">
        <w:rPr>
          <w:rFonts w:ascii="Book Antiqua" w:hAnsi="Book Antiqua"/>
          <w:sz w:val="24"/>
          <w:szCs w:val="24"/>
        </w:rPr>
        <w:t xml:space="preserve"> </w:t>
      </w:r>
      <w:r w:rsidR="002C7E0F" w:rsidRPr="002C7E0F">
        <w:rPr>
          <w:rFonts w:ascii="Book Antiqua" w:hAnsi="Book Antiqua"/>
          <w:sz w:val="24"/>
          <w:szCs w:val="24"/>
        </w:rPr>
        <w:t xml:space="preserve">concienciar a la población general sobre la importancia de reforzar las actividades dirigidas a la prevención y detección temprana </w:t>
      </w:r>
      <w:r w:rsidR="002C7E0F" w:rsidRPr="002C7E0F">
        <w:rPr>
          <w:rFonts w:ascii="Book Antiqua" w:hAnsi="Book Antiqua"/>
          <w:sz w:val="24"/>
          <w:szCs w:val="24"/>
        </w:rPr>
        <w:lastRenderedPageBreak/>
        <w:t xml:space="preserve">de las infecciones por VIH en Puerto Rico, así como reconocer aquellas personas que han fallecido por causa del SIDA, </w:t>
      </w:r>
      <w:r w:rsidR="00646563">
        <w:rPr>
          <w:rFonts w:ascii="Book Antiqua" w:hAnsi="Book Antiqua"/>
          <w:sz w:val="24"/>
          <w:szCs w:val="24"/>
        </w:rPr>
        <w:t>así como reforzar</w:t>
      </w:r>
      <w:r w:rsidR="002C7E0F" w:rsidRPr="002C7E0F">
        <w:rPr>
          <w:rFonts w:ascii="Book Antiqua" w:hAnsi="Book Antiqua"/>
          <w:sz w:val="24"/>
          <w:szCs w:val="24"/>
        </w:rPr>
        <w:t xml:space="preserve"> el compromiso para eliminar el discrimen y las prácticas que perpetúen el estigma que a su vez hacen más vulnerables a las personas con diagnóstico de VIH y SIDA</w:t>
      </w:r>
      <w:r w:rsidR="00646563">
        <w:rPr>
          <w:rFonts w:ascii="Book Antiqua" w:hAnsi="Book Antiqua"/>
          <w:sz w:val="24"/>
          <w:szCs w:val="24"/>
        </w:rPr>
        <w:t>.</w:t>
      </w:r>
    </w:p>
    <w:p w14:paraId="3E4E135E" w14:textId="2A941557" w:rsidR="004215A8" w:rsidRPr="004808FB" w:rsidRDefault="004215A8" w:rsidP="004215A8">
      <w:pPr>
        <w:spacing w:before="240" w:after="0"/>
        <w:jc w:val="both"/>
        <w:rPr>
          <w:rFonts w:ascii="Book Antiqua" w:hAnsi="Book Antiqua"/>
          <w:sz w:val="24"/>
          <w:szCs w:val="24"/>
        </w:rPr>
      </w:pPr>
      <w:r w:rsidRPr="004808FB">
        <w:rPr>
          <w:rFonts w:ascii="Book Antiqua" w:hAnsi="Book Antiqua"/>
          <w:sz w:val="24"/>
          <w:szCs w:val="24"/>
        </w:rPr>
        <w:tab/>
      </w:r>
      <w:r w:rsidRPr="005C308F">
        <w:rPr>
          <w:rFonts w:ascii="Book Antiqua" w:hAnsi="Book Antiqua"/>
          <w:b/>
          <w:bCs/>
          <w:sz w:val="24"/>
          <w:szCs w:val="24"/>
        </w:rPr>
        <w:t xml:space="preserve">POR TODO LO ANTES EXPUESTO, </w:t>
      </w:r>
      <w:r w:rsidRPr="005C308F">
        <w:rPr>
          <w:rFonts w:ascii="Book Antiqua" w:hAnsi="Book Antiqua"/>
          <w:sz w:val="24"/>
          <w:szCs w:val="24"/>
        </w:rPr>
        <w:t>la Comisión de Salud del Estado Libre Asociado de Puerto Rico, previo estudio y consideración, recomienda favorablemente la aprobación del P. de</w:t>
      </w:r>
      <w:r w:rsidR="00A34584" w:rsidRPr="005C308F">
        <w:rPr>
          <w:rFonts w:ascii="Book Antiqua" w:hAnsi="Book Antiqua"/>
          <w:sz w:val="24"/>
          <w:szCs w:val="24"/>
        </w:rPr>
        <w:t xml:space="preserve"> la C</w:t>
      </w:r>
      <w:r w:rsidRPr="005C308F">
        <w:rPr>
          <w:rFonts w:ascii="Book Antiqua" w:hAnsi="Book Antiqua"/>
          <w:sz w:val="24"/>
          <w:szCs w:val="24"/>
        </w:rPr>
        <w:t>. 1</w:t>
      </w:r>
      <w:r w:rsidR="00646563">
        <w:rPr>
          <w:rFonts w:ascii="Book Antiqua" w:hAnsi="Book Antiqua"/>
          <w:sz w:val="24"/>
          <w:szCs w:val="24"/>
        </w:rPr>
        <w:t>083</w:t>
      </w:r>
      <w:r w:rsidRPr="005C308F">
        <w:rPr>
          <w:rFonts w:ascii="Book Antiqua" w:hAnsi="Book Antiqua"/>
          <w:sz w:val="24"/>
          <w:szCs w:val="24"/>
        </w:rPr>
        <w:t>, con el entirillado que se acompaña.</w:t>
      </w:r>
    </w:p>
    <w:p w14:paraId="5449BF89" w14:textId="77777777" w:rsidR="004215A8" w:rsidRPr="004808FB" w:rsidRDefault="004215A8" w:rsidP="004215A8">
      <w:pPr>
        <w:rPr>
          <w:rFonts w:ascii="Book Antiqua" w:eastAsia="Malgun Gothic" w:hAnsi="Book Antiqua" w:cs="Mongolian Baiti"/>
          <w:sz w:val="24"/>
          <w:szCs w:val="24"/>
        </w:rPr>
      </w:pPr>
    </w:p>
    <w:p w14:paraId="31CD0714" w14:textId="77777777" w:rsidR="004215A8" w:rsidRPr="004808FB" w:rsidRDefault="004215A8" w:rsidP="004215A8">
      <w:pPr>
        <w:rPr>
          <w:rFonts w:ascii="Book Antiqua" w:eastAsia="Malgun Gothic" w:hAnsi="Book Antiqua" w:cs="Mongolian Baiti"/>
          <w:sz w:val="24"/>
          <w:szCs w:val="24"/>
        </w:rPr>
      </w:pPr>
      <w:r w:rsidRPr="004808FB">
        <w:rPr>
          <w:rFonts w:ascii="Book Antiqua" w:eastAsia="Malgun Gothic" w:hAnsi="Book Antiqua" w:cs="Mongolian Baiti"/>
          <w:sz w:val="24"/>
          <w:szCs w:val="24"/>
        </w:rPr>
        <w:t>Respetuosamente sometido,</w:t>
      </w:r>
    </w:p>
    <w:p w14:paraId="21954BC1" w14:textId="77777777" w:rsidR="004215A8" w:rsidRPr="004808FB" w:rsidRDefault="004215A8" w:rsidP="004215A8">
      <w:pPr>
        <w:spacing w:after="0"/>
        <w:rPr>
          <w:rFonts w:ascii="Book Antiqua" w:eastAsia="Malgun Gothic" w:hAnsi="Book Antiqua" w:cs="Mongolian Baiti"/>
          <w:sz w:val="24"/>
          <w:szCs w:val="24"/>
        </w:rPr>
      </w:pPr>
    </w:p>
    <w:p w14:paraId="7787FB82" w14:textId="77777777" w:rsidR="004215A8" w:rsidRDefault="004215A8" w:rsidP="004215A8">
      <w:pPr>
        <w:spacing w:after="0"/>
        <w:rPr>
          <w:rFonts w:ascii="Book Antiqua" w:eastAsia="Malgun Gothic" w:hAnsi="Book Antiqua" w:cs="Mongolian Baiti"/>
          <w:b/>
          <w:bCs/>
          <w:sz w:val="24"/>
          <w:szCs w:val="24"/>
        </w:rPr>
      </w:pPr>
    </w:p>
    <w:p w14:paraId="36C8A69C" w14:textId="77777777" w:rsidR="004215A8" w:rsidRDefault="004215A8" w:rsidP="004215A8">
      <w:pPr>
        <w:spacing w:after="0"/>
        <w:rPr>
          <w:rFonts w:ascii="Book Antiqua" w:eastAsia="Malgun Gothic" w:hAnsi="Book Antiqua" w:cs="Mongolian Baiti"/>
          <w:b/>
          <w:bCs/>
          <w:sz w:val="24"/>
          <w:szCs w:val="24"/>
        </w:rPr>
      </w:pPr>
    </w:p>
    <w:p w14:paraId="4AAC763A" w14:textId="77777777" w:rsidR="004215A8" w:rsidRPr="004808FB" w:rsidRDefault="004215A8" w:rsidP="004215A8">
      <w:pPr>
        <w:spacing w:after="0"/>
        <w:rPr>
          <w:rFonts w:ascii="Book Antiqua" w:eastAsia="Malgun Gothic" w:hAnsi="Book Antiqua" w:cs="Mongolian Baiti"/>
          <w:b/>
          <w:bCs/>
          <w:sz w:val="24"/>
          <w:szCs w:val="24"/>
        </w:rPr>
      </w:pPr>
      <w:r w:rsidRPr="004808FB">
        <w:rPr>
          <w:rFonts w:ascii="Book Antiqua" w:eastAsia="Malgun Gothic" w:hAnsi="Book Antiqua" w:cs="Mongolian Baiti"/>
          <w:b/>
          <w:bCs/>
          <w:sz w:val="24"/>
          <w:szCs w:val="24"/>
        </w:rPr>
        <w:t>Hon. Rubén Soto Rivera</w:t>
      </w:r>
      <w:r w:rsidRPr="004808FB">
        <w:rPr>
          <w:rFonts w:ascii="Book Antiqua" w:eastAsia="Malgun Gothic" w:hAnsi="Book Antiqua" w:cs="Mongolian Baiti"/>
          <w:b/>
          <w:bCs/>
          <w:sz w:val="24"/>
          <w:szCs w:val="24"/>
        </w:rPr>
        <w:tab/>
      </w:r>
      <w:r w:rsidRPr="004808FB">
        <w:rPr>
          <w:rFonts w:ascii="Book Antiqua" w:eastAsia="Malgun Gothic" w:hAnsi="Book Antiqua" w:cs="Mongolian Baiti"/>
          <w:b/>
          <w:bCs/>
          <w:sz w:val="24"/>
          <w:szCs w:val="24"/>
        </w:rPr>
        <w:tab/>
      </w:r>
      <w:r w:rsidRPr="004808FB">
        <w:rPr>
          <w:rFonts w:ascii="Book Antiqua" w:eastAsia="Malgun Gothic" w:hAnsi="Book Antiqua" w:cs="Mongolian Baiti"/>
          <w:b/>
          <w:bCs/>
          <w:sz w:val="24"/>
          <w:szCs w:val="24"/>
        </w:rPr>
        <w:tab/>
      </w:r>
      <w:r w:rsidRPr="004808FB">
        <w:rPr>
          <w:rFonts w:ascii="Book Antiqua" w:eastAsia="Malgun Gothic" w:hAnsi="Book Antiqua" w:cs="Mongolian Baiti"/>
          <w:b/>
          <w:bCs/>
          <w:sz w:val="24"/>
          <w:szCs w:val="24"/>
        </w:rPr>
        <w:tab/>
      </w:r>
      <w:r w:rsidRPr="004808FB">
        <w:rPr>
          <w:rFonts w:ascii="Book Antiqua" w:eastAsia="Malgun Gothic" w:hAnsi="Book Antiqua" w:cs="Mongolian Baiti"/>
          <w:b/>
          <w:bCs/>
          <w:sz w:val="24"/>
          <w:szCs w:val="24"/>
        </w:rPr>
        <w:tab/>
      </w:r>
    </w:p>
    <w:p w14:paraId="55407AD1" w14:textId="77777777" w:rsidR="004215A8" w:rsidRPr="004808FB" w:rsidRDefault="004215A8" w:rsidP="004215A8">
      <w:pPr>
        <w:spacing w:after="0"/>
        <w:rPr>
          <w:rFonts w:ascii="Book Antiqua" w:eastAsia="Malgun Gothic" w:hAnsi="Book Antiqua" w:cs="Mongolian Baiti"/>
          <w:b/>
          <w:bCs/>
          <w:sz w:val="24"/>
          <w:szCs w:val="24"/>
        </w:rPr>
      </w:pPr>
      <w:r w:rsidRPr="004808FB">
        <w:rPr>
          <w:rFonts w:ascii="Book Antiqua" w:eastAsia="Malgun Gothic" w:hAnsi="Book Antiqua" w:cs="Mongolian Baiti"/>
          <w:b/>
          <w:bCs/>
          <w:sz w:val="24"/>
          <w:szCs w:val="24"/>
        </w:rPr>
        <w:t xml:space="preserve">Presidente </w:t>
      </w:r>
      <w:r w:rsidRPr="004808FB">
        <w:rPr>
          <w:rFonts w:ascii="Book Antiqua" w:eastAsia="Malgun Gothic" w:hAnsi="Book Antiqua" w:cs="Mongolian Baiti"/>
          <w:b/>
          <w:bCs/>
          <w:sz w:val="24"/>
          <w:szCs w:val="24"/>
        </w:rPr>
        <w:tab/>
      </w:r>
      <w:r w:rsidRPr="004808FB">
        <w:rPr>
          <w:rFonts w:ascii="Book Antiqua" w:eastAsia="Malgun Gothic" w:hAnsi="Book Antiqua" w:cs="Mongolian Baiti"/>
          <w:b/>
          <w:bCs/>
          <w:sz w:val="24"/>
          <w:szCs w:val="24"/>
        </w:rPr>
        <w:tab/>
      </w:r>
      <w:r w:rsidRPr="004808FB">
        <w:rPr>
          <w:rFonts w:ascii="Book Antiqua" w:eastAsia="Malgun Gothic" w:hAnsi="Book Antiqua" w:cs="Mongolian Baiti"/>
          <w:b/>
          <w:bCs/>
          <w:sz w:val="24"/>
          <w:szCs w:val="24"/>
        </w:rPr>
        <w:tab/>
      </w:r>
      <w:r w:rsidRPr="004808FB">
        <w:rPr>
          <w:rFonts w:ascii="Book Antiqua" w:eastAsia="Malgun Gothic" w:hAnsi="Book Antiqua" w:cs="Mongolian Baiti"/>
          <w:b/>
          <w:bCs/>
          <w:sz w:val="24"/>
          <w:szCs w:val="24"/>
        </w:rPr>
        <w:tab/>
      </w:r>
      <w:r w:rsidRPr="004808FB">
        <w:rPr>
          <w:rFonts w:ascii="Book Antiqua" w:eastAsia="Malgun Gothic" w:hAnsi="Book Antiqua" w:cs="Mongolian Baiti"/>
          <w:b/>
          <w:bCs/>
          <w:sz w:val="24"/>
          <w:szCs w:val="24"/>
        </w:rPr>
        <w:tab/>
      </w:r>
      <w:r w:rsidRPr="004808FB">
        <w:rPr>
          <w:rFonts w:ascii="Book Antiqua" w:eastAsia="Malgun Gothic" w:hAnsi="Book Antiqua" w:cs="Mongolian Baiti"/>
          <w:b/>
          <w:bCs/>
          <w:sz w:val="24"/>
          <w:szCs w:val="24"/>
        </w:rPr>
        <w:tab/>
      </w:r>
      <w:r w:rsidRPr="004808FB">
        <w:rPr>
          <w:rFonts w:ascii="Book Antiqua" w:eastAsia="Malgun Gothic" w:hAnsi="Book Antiqua" w:cs="Mongolian Baiti"/>
          <w:b/>
          <w:bCs/>
          <w:sz w:val="24"/>
          <w:szCs w:val="24"/>
        </w:rPr>
        <w:tab/>
      </w:r>
    </w:p>
    <w:p w14:paraId="25B48569" w14:textId="77777777" w:rsidR="004215A8" w:rsidRPr="004808FB" w:rsidRDefault="004215A8" w:rsidP="004215A8">
      <w:pPr>
        <w:spacing w:after="0"/>
        <w:rPr>
          <w:rFonts w:ascii="Book Antiqua" w:eastAsia="Malgun Gothic" w:hAnsi="Book Antiqua" w:cs="Mongolian Baiti"/>
          <w:b/>
          <w:bCs/>
          <w:sz w:val="24"/>
          <w:szCs w:val="24"/>
        </w:rPr>
      </w:pPr>
      <w:r w:rsidRPr="004808FB">
        <w:rPr>
          <w:rFonts w:ascii="Book Antiqua" w:eastAsia="Malgun Gothic" w:hAnsi="Book Antiqua" w:cs="Mongolian Baiti"/>
          <w:b/>
          <w:bCs/>
          <w:sz w:val="24"/>
          <w:szCs w:val="24"/>
        </w:rPr>
        <w:t>Comisión de Salud</w:t>
      </w:r>
    </w:p>
    <w:p w14:paraId="196ECCB0" w14:textId="77777777" w:rsidR="004215A8" w:rsidRPr="004808FB" w:rsidRDefault="004215A8" w:rsidP="004215A8">
      <w:pPr>
        <w:ind w:firstLine="720"/>
        <w:rPr>
          <w:rFonts w:ascii="Book Antiqua" w:eastAsia="Malgun Gothic" w:hAnsi="Book Antiqua" w:cs="Malgun Gothic"/>
          <w:sz w:val="24"/>
          <w:szCs w:val="24"/>
        </w:rPr>
      </w:pPr>
    </w:p>
    <w:p w14:paraId="496FAD31" w14:textId="77777777" w:rsidR="00D541E5" w:rsidRDefault="00D541E5"/>
    <w:sectPr w:rsidR="00D541E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BBB99" w14:textId="77777777" w:rsidR="00412D47" w:rsidRDefault="00412D47" w:rsidP="00412D47">
      <w:pPr>
        <w:spacing w:after="0" w:line="240" w:lineRule="auto"/>
      </w:pPr>
      <w:r>
        <w:separator/>
      </w:r>
    </w:p>
  </w:endnote>
  <w:endnote w:type="continuationSeparator" w:id="0">
    <w:p w14:paraId="1931FC9B" w14:textId="77777777" w:rsidR="00412D47" w:rsidRDefault="00412D47" w:rsidP="00412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945739"/>
      <w:docPartObj>
        <w:docPartGallery w:val="Page Numbers (Bottom of Page)"/>
        <w:docPartUnique/>
      </w:docPartObj>
    </w:sdtPr>
    <w:sdtEndPr>
      <w:rPr>
        <w:noProof/>
      </w:rPr>
    </w:sdtEndPr>
    <w:sdtContent>
      <w:p w14:paraId="404A9033" w14:textId="72722573" w:rsidR="00412D47" w:rsidRDefault="00412D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FF0D29" w14:textId="77777777" w:rsidR="00412D47" w:rsidRDefault="00412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AA166" w14:textId="77777777" w:rsidR="00412D47" w:rsidRDefault="00412D47" w:rsidP="00412D47">
      <w:pPr>
        <w:spacing w:after="0" w:line="240" w:lineRule="auto"/>
      </w:pPr>
      <w:r>
        <w:separator/>
      </w:r>
    </w:p>
  </w:footnote>
  <w:footnote w:type="continuationSeparator" w:id="0">
    <w:p w14:paraId="758ECA5A" w14:textId="77777777" w:rsidR="00412D47" w:rsidRDefault="00412D47" w:rsidP="00412D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A8"/>
    <w:rsid w:val="00007EDE"/>
    <w:rsid w:val="00074399"/>
    <w:rsid w:val="00080014"/>
    <w:rsid w:val="000C3693"/>
    <w:rsid w:val="000E57C7"/>
    <w:rsid w:val="000E5E09"/>
    <w:rsid w:val="00105234"/>
    <w:rsid w:val="001E727B"/>
    <w:rsid w:val="00204F31"/>
    <w:rsid w:val="0021404A"/>
    <w:rsid w:val="00215F1B"/>
    <w:rsid w:val="00236CD3"/>
    <w:rsid w:val="002772F6"/>
    <w:rsid w:val="002C7E0F"/>
    <w:rsid w:val="002D7D16"/>
    <w:rsid w:val="002F4665"/>
    <w:rsid w:val="00303303"/>
    <w:rsid w:val="00317D28"/>
    <w:rsid w:val="003315B5"/>
    <w:rsid w:val="00367668"/>
    <w:rsid w:val="00370931"/>
    <w:rsid w:val="00412D47"/>
    <w:rsid w:val="004215A8"/>
    <w:rsid w:val="004411EF"/>
    <w:rsid w:val="0048077F"/>
    <w:rsid w:val="004B1B66"/>
    <w:rsid w:val="004B1EC7"/>
    <w:rsid w:val="004E55F9"/>
    <w:rsid w:val="00517E22"/>
    <w:rsid w:val="005465F6"/>
    <w:rsid w:val="005B543F"/>
    <w:rsid w:val="005B5448"/>
    <w:rsid w:val="005B723B"/>
    <w:rsid w:val="005C308F"/>
    <w:rsid w:val="005E6430"/>
    <w:rsid w:val="005E68D9"/>
    <w:rsid w:val="005F61D9"/>
    <w:rsid w:val="00646563"/>
    <w:rsid w:val="00663481"/>
    <w:rsid w:val="006B0106"/>
    <w:rsid w:val="006B6428"/>
    <w:rsid w:val="006D3E0E"/>
    <w:rsid w:val="007109D1"/>
    <w:rsid w:val="00712C48"/>
    <w:rsid w:val="00755D42"/>
    <w:rsid w:val="00761244"/>
    <w:rsid w:val="00783D55"/>
    <w:rsid w:val="007C677D"/>
    <w:rsid w:val="007D2D06"/>
    <w:rsid w:val="007E6199"/>
    <w:rsid w:val="007F0D54"/>
    <w:rsid w:val="008A328A"/>
    <w:rsid w:val="008D29BD"/>
    <w:rsid w:val="00904EA7"/>
    <w:rsid w:val="00931A95"/>
    <w:rsid w:val="00960BFF"/>
    <w:rsid w:val="009A6B93"/>
    <w:rsid w:val="009A6BD6"/>
    <w:rsid w:val="009D2820"/>
    <w:rsid w:val="009D541F"/>
    <w:rsid w:val="00A1078F"/>
    <w:rsid w:val="00A34584"/>
    <w:rsid w:val="00A5146D"/>
    <w:rsid w:val="00A52530"/>
    <w:rsid w:val="00A712B9"/>
    <w:rsid w:val="00AC400E"/>
    <w:rsid w:val="00AC7330"/>
    <w:rsid w:val="00AF35F4"/>
    <w:rsid w:val="00B23F5C"/>
    <w:rsid w:val="00B769B1"/>
    <w:rsid w:val="00BF267C"/>
    <w:rsid w:val="00C170D3"/>
    <w:rsid w:val="00C44F65"/>
    <w:rsid w:val="00C704FE"/>
    <w:rsid w:val="00C87A9B"/>
    <w:rsid w:val="00CE350E"/>
    <w:rsid w:val="00CF5C78"/>
    <w:rsid w:val="00D06095"/>
    <w:rsid w:val="00D541E5"/>
    <w:rsid w:val="00D6065F"/>
    <w:rsid w:val="00D764AA"/>
    <w:rsid w:val="00DB15AC"/>
    <w:rsid w:val="00DD1D2D"/>
    <w:rsid w:val="00E10C21"/>
    <w:rsid w:val="00E16A74"/>
    <w:rsid w:val="00E50295"/>
    <w:rsid w:val="00E664B3"/>
    <w:rsid w:val="00E922CE"/>
    <w:rsid w:val="00EB4A85"/>
    <w:rsid w:val="00EC0EE6"/>
    <w:rsid w:val="00EE6F4C"/>
    <w:rsid w:val="00EF2DDF"/>
    <w:rsid w:val="00F45414"/>
    <w:rsid w:val="00FE6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5F4F"/>
  <w15:chartTrackingRefBased/>
  <w15:docId w15:val="{EF2AC32A-C4AE-4799-9620-5414E0AC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5A8"/>
    <w:pPr>
      <w:spacing w:line="256" w:lineRule="auto"/>
    </w:pPr>
    <w:rPr>
      <w:kern w:val="0"/>
      <w:lang w:val="es-E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D47"/>
    <w:rPr>
      <w:kern w:val="0"/>
      <w:lang w:val="es-ES"/>
      <w14:ligatures w14:val="none"/>
    </w:rPr>
  </w:style>
  <w:style w:type="paragraph" w:styleId="Footer">
    <w:name w:val="footer"/>
    <w:basedOn w:val="Normal"/>
    <w:link w:val="FooterChar"/>
    <w:uiPriority w:val="99"/>
    <w:unhideWhenUsed/>
    <w:rsid w:val="00412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D47"/>
    <w:rPr>
      <w:kern w:val="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23495">
      <w:bodyDiv w:val="1"/>
      <w:marLeft w:val="0"/>
      <w:marRight w:val="0"/>
      <w:marTop w:val="0"/>
      <w:marBottom w:val="0"/>
      <w:divBdr>
        <w:top w:val="none" w:sz="0" w:space="0" w:color="auto"/>
        <w:left w:val="none" w:sz="0" w:space="0" w:color="auto"/>
        <w:bottom w:val="none" w:sz="0" w:space="0" w:color="auto"/>
        <w:right w:val="none" w:sz="0" w:space="0" w:color="auto"/>
      </w:divBdr>
    </w:div>
    <w:div w:id="70852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58FC75B682744FB4A53C756BEDC3A3" ma:contentTypeVersion="11" ma:contentTypeDescription="Create a new document." ma:contentTypeScope="" ma:versionID="eaecc002bf43ecd7a0ac0050fad5d75a">
  <xsd:schema xmlns:xsd="http://www.w3.org/2001/XMLSchema" xmlns:xs="http://www.w3.org/2001/XMLSchema" xmlns:p="http://schemas.microsoft.com/office/2006/metadata/properties" xmlns:ns1="http://schemas.microsoft.com/sharepoint/v3" xmlns:ns2="c890fddd-4e87-4e08-8b51-545f2a3f7b06" xmlns:ns3="f29de0d1-023e-4363-82d3-bb472b30be6a" targetNamespace="http://schemas.microsoft.com/office/2006/metadata/properties" ma:root="true" ma:fieldsID="a283e4d93d8bf497b28cdef68382689a" ns1:_="" ns2:_="" ns3:_="">
    <xsd:import namespace="http://schemas.microsoft.com/sharepoint/v3"/>
    <xsd:import namespace="c890fddd-4e87-4e08-8b51-545f2a3f7b06"/>
    <xsd:import namespace="f29de0d1-023e-4363-82d3-bb472b30be6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MediaServiceObjectDetectorVersions" minOccurs="0"/>
                <xsd:element ref="ns3:MediaServiceGenerationTime" minOccurs="0"/>
                <xsd:element ref="ns3:MediaServiceEventHashCode"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90fddd-4e87-4e08-8b51-545f2a3f7b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de0d1-023e-4363-82d3-bb472b30be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c890fddd-4e87-4e08-8b51-545f2a3f7b06">4SQX5P7U7WPY-958212181-787557</_dlc_DocId>
    <_dlc_DocIdUrl xmlns="c890fddd-4e87-4e08-8b51-545f2a3f7b06">
      <Url>https://senpr.sharepoint.com/sites/obralegislativa/_layouts/15/DocIdRedir.aspx?ID=4SQX5P7U7WPY-958212181-787557</Url>
      <Description>4SQX5P7U7WPY-958212181-787557</Description>
    </_dlc_DocIdUrl>
  </documentManagement>
</p:properties>
</file>

<file path=customXml/itemProps1.xml><?xml version="1.0" encoding="utf-8"?>
<ds:datastoreItem xmlns:ds="http://schemas.openxmlformats.org/officeDocument/2006/customXml" ds:itemID="{28F7820E-0391-4579-8533-0DB09296FBB7}"/>
</file>

<file path=customXml/itemProps2.xml><?xml version="1.0" encoding="utf-8"?>
<ds:datastoreItem xmlns:ds="http://schemas.openxmlformats.org/officeDocument/2006/customXml" ds:itemID="{3BAE4016-E45A-4DFF-BA4C-99F5CA1DB423}"/>
</file>

<file path=customXml/itemProps3.xml><?xml version="1.0" encoding="utf-8"?>
<ds:datastoreItem xmlns:ds="http://schemas.openxmlformats.org/officeDocument/2006/customXml" ds:itemID="{6D5C6C18-6D31-4D86-9FF7-A568706C0E88}"/>
</file>

<file path=customXml/itemProps4.xml><?xml version="1.0" encoding="utf-8"?>
<ds:datastoreItem xmlns:ds="http://schemas.openxmlformats.org/officeDocument/2006/customXml" ds:itemID="{97D20E67-C6C1-4A66-9024-4E5999FEBD78}"/>
</file>

<file path=docProps/app.xml><?xml version="1.0" encoding="utf-8"?>
<Properties xmlns="http://schemas.openxmlformats.org/officeDocument/2006/extended-properties" xmlns:vt="http://schemas.openxmlformats.org/officeDocument/2006/docPropsVTypes">
  <Template>Normal</Template>
  <TotalTime>2</TotalTime>
  <Pages>6</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Santiago Pagan (Sen. Soto Rivera)</dc:creator>
  <cp:keywords/>
  <dc:description/>
  <cp:lastModifiedBy>Eric J. González (Trámites y Récords)</cp:lastModifiedBy>
  <cp:revision>3</cp:revision>
  <dcterms:created xsi:type="dcterms:W3CDTF">2024-01-30T15:52:00Z</dcterms:created>
  <dcterms:modified xsi:type="dcterms:W3CDTF">2024-01-30T15:52:00Z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0x0101008C58FC75B682744FB4A53C756BEDC3A3</vt:lpwstr>
  </property>
  <property fmtid="{D5CDD505-2E9C-101B-9397-08002B2CF9AE}" pid="3" name="_dlc_DocIdItemGuid">
    <vt:lpwstr>02574893-fcdb-4870-bb2e-87e67afea5d2</vt:lpwstr>
  </property>
</Properties>
</file>