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E7E7" w14:textId="77777777" w:rsidR="003F56DE" w:rsidRPr="003F56DE" w:rsidRDefault="003F56DE" w:rsidP="003F56DE">
      <w:pPr>
        <w:suppressAutoHyphens/>
        <w:jc w:val="center"/>
        <w:rPr>
          <w:rFonts w:ascii="Book Antiqua" w:hAnsi="Book Antiqua"/>
          <w:b/>
          <w:bCs/>
          <w:szCs w:val="28"/>
          <w:lang w:val="es-PR"/>
        </w:rPr>
      </w:pPr>
      <w:r w:rsidRPr="003F56DE">
        <w:rPr>
          <w:rFonts w:ascii="Book Antiqua" w:hAnsi="Book Antiqua"/>
          <w:b/>
          <w:bCs/>
          <w:szCs w:val="28"/>
          <w:lang w:val="es-PR"/>
        </w:rPr>
        <w:t>(TEXTO DE APROBACION FINAL POR LA CAMARA)</w:t>
      </w:r>
      <w:r w:rsidRPr="003F56DE">
        <w:rPr>
          <w:rFonts w:ascii="Book Antiqua" w:hAnsi="Book Antiqua"/>
          <w:b/>
          <w:bCs/>
          <w:szCs w:val="28"/>
        </w:rPr>
        <w:fldChar w:fldCharType="begin"/>
      </w:r>
      <w:r w:rsidRPr="003F56DE">
        <w:rPr>
          <w:rFonts w:ascii="Book Antiqua" w:hAnsi="Book Antiqua"/>
          <w:b/>
          <w:bCs/>
          <w:szCs w:val="28"/>
          <w:lang w:val="es-PR"/>
        </w:rPr>
        <w:instrText xml:space="preserve">PRIVATE </w:instrText>
      </w:r>
      <w:r w:rsidRPr="003F56DE">
        <w:rPr>
          <w:rFonts w:ascii="Book Antiqua" w:hAnsi="Book Antiqua"/>
          <w:b/>
          <w:bCs/>
          <w:szCs w:val="28"/>
        </w:rPr>
        <w:fldChar w:fldCharType="end"/>
      </w:r>
    </w:p>
    <w:p w14:paraId="347B671B" w14:textId="77777777" w:rsidR="003F56DE" w:rsidRPr="003F56DE" w:rsidRDefault="003F56DE" w:rsidP="003F56DE">
      <w:pPr>
        <w:suppressAutoHyphens/>
        <w:jc w:val="center"/>
        <w:rPr>
          <w:rFonts w:ascii="Book Antiqua" w:hAnsi="Book Antiqua"/>
          <w:b/>
          <w:bCs/>
          <w:szCs w:val="28"/>
          <w:lang w:val="es-PR"/>
        </w:rPr>
      </w:pPr>
      <w:r w:rsidRPr="003F56DE">
        <w:rPr>
          <w:rFonts w:ascii="Book Antiqua" w:hAnsi="Book Antiqua"/>
          <w:b/>
          <w:bCs/>
          <w:szCs w:val="28"/>
          <w:lang w:val="es-PR"/>
        </w:rPr>
        <w:t>(14 DE JUNIO DE 2022)</w:t>
      </w:r>
    </w:p>
    <w:p w14:paraId="7D2F36A5" w14:textId="77777777" w:rsidR="003F56DE" w:rsidRPr="003F56DE" w:rsidRDefault="003F56DE" w:rsidP="003F56DE">
      <w:pPr>
        <w:suppressAutoHyphens/>
        <w:jc w:val="center"/>
        <w:rPr>
          <w:rFonts w:ascii="Book Antiqua" w:hAnsi="Book Antiqua"/>
          <w:szCs w:val="28"/>
          <w:lang w:val="es-ES_tradnl"/>
        </w:rPr>
      </w:pPr>
      <w:r w:rsidRPr="003F56DE">
        <w:rPr>
          <w:rFonts w:ascii="Book Antiqua" w:hAnsi="Book Antiqua"/>
          <w:noProof/>
          <w:szCs w:val="28"/>
          <w:lang w:val="es-PR" w:eastAsia="es-P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504EDB" wp14:editId="7EEDE5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7B72" id="Rectangle 1" o:spid="_x0000_s1026" style="position:absolute;margin-left:0;margin-top:0;width:468pt;height: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" o:allowincell="f" fillcolor="black" stroked="f" strokeweight=".05pt">
                <w10:wrap anchorx="margin"/>
              </v:rect>
            </w:pict>
          </mc:Fallback>
        </mc:AlternateContent>
      </w:r>
    </w:p>
    <w:p w14:paraId="10263B55" w14:textId="04E0E99E" w:rsidR="00E50CD6" w:rsidRDefault="008439D2" w:rsidP="00E50CD6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ESTADO LIBRE ASOCIADO</w:t>
      </w:r>
      <w:r w:rsidR="00A32ACF">
        <w:rPr>
          <w:rFonts w:ascii="Book Antiqua" w:hAnsi="Book Antiqua"/>
          <w:sz w:val="28"/>
          <w:lang w:val="es-ES_tradnl"/>
        </w:rPr>
        <w:t xml:space="preserve"> DE PUERTO RICO</w:t>
      </w:r>
    </w:p>
    <w:p w14:paraId="0A966318" w14:textId="77777777" w:rsidR="00A32ACF" w:rsidRDefault="00A32ACF" w:rsidP="00E50CD6">
      <w:pPr>
        <w:jc w:val="center"/>
        <w:rPr>
          <w:rFonts w:ascii="Book Antiqua" w:hAnsi="Book Antiqua"/>
          <w:sz w:val="28"/>
          <w:lang w:val="es-ES_tradnl"/>
        </w:rPr>
      </w:pPr>
    </w:p>
    <w:p w14:paraId="25BEEE0B" w14:textId="0A314287" w:rsidR="00E50CD6" w:rsidRDefault="008439D2" w:rsidP="00E50CD6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19na.</w:t>
      </w:r>
      <w:r w:rsidR="00E50CD6">
        <w:rPr>
          <w:rFonts w:ascii="Book Antiqua" w:hAnsi="Book Antiqua"/>
          <w:lang w:val="es-ES_tradnl"/>
        </w:rPr>
        <w:tab/>
        <w:t>Asamblea</w:t>
      </w:r>
      <w:r w:rsidR="00E50CD6">
        <w:rPr>
          <w:rFonts w:ascii="Book Antiqua" w:hAnsi="Book Antiqua"/>
          <w:lang w:val="es-ES_tradnl"/>
        </w:rPr>
        <w:tab/>
      </w:r>
      <w:r w:rsidR="00E50CD6"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 xml:space="preserve">3ra. </w:t>
      </w:r>
      <w:r w:rsidR="00E50CD6">
        <w:rPr>
          <w:rFonts w:ascii="Book Antiqua" w:hAnsi="Book Antiqua"/>
          <w:lang w:val="es-ES_tradnl"/>
        </w:rPr>
        <w:t>Sesión</w:t>
      </w:r>
    </w:p>
    <w:p w14:paraId="28BEDE62" w14:textId="135CDD7F" w:rsidR="00E50CD6" w:rsidRDefault="00E50CD6" w:rsidP="00E50CD6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 w:rsidR="0040032A">
        <w:rPr>
          <w:rFonts w:ascii="Book Antiqua" w:hAnsi="Book Antiqua"/>
          <w:lang w:val="es-ES_tradnl"/>
        </w:rPr>
        <w:t xml:space="preserve">     </w:t>
      </w:r>
      <w:r>
        <w:rPr>
          <w:rFonts w:ascii="Book Antiqua" w:hAnsi="Book Antiqua"/>
          <w:lang w:val="es-ES_tradnl"/>
        </w:rPr>
        <w:t>Ordinaria</w:t>
      </w:r>
    </w:p>
    <w:p w14:paraId="3D662CE5" w14:textId="77777777" w:rsidR="00E50CD6" w:rsidRDefault="00E50CD6" w:rsidP="00E50CD6">
      <w:pPr>
        <w:rPr>
          <w:lang w:val="es-ES_tradnl"/>
        </w:rPr>
      </w:pPr>
    </w:p>
    <w:p w14:paraId="13D5181F" w14:textId="77777777" w:rsidR="00E50CD6" w:rsidRDefault="00E50CD6" w:rsidP="00E50CD6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14:paraId="710B2950" w14:textId="77777777" w:rsidR="00E50CD6" w:rsidRDefault="00E50CD6" w:rsidP="00E50CD6">
      <w:pPr>
        <w:jc w:val="center"/>
        <w:rPr>
          <w:rFonts w:ascii="Book Antiqua" w:hAnsi="Book Antiqua"/>
          <w:b/>
          <w:sz w:val="36"/>
          <w:lang w:val="es-ES_tradnl"/>
        </w:rPr>
      </w:pPr>
    </w:p>
    <w:p w14:paraId="543CC9EA" w14:textId="468B828E" w:rsidR="00E50CD6" w:rsidRDefault="00E50CD6" w:rsidP="007C2ACF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P. de la C. </w:t>
      </w:r>
      <w:r w:rsidR="00C30F73">
        <w:rPr>
          <w:rFonts w:ascii="Book Antiqua" w:hAnsi="Book Antiqua"/>
          <w:b/>
          <w:sz w:val="52"/>
          <w:lang w:val="es-ES_tradnl"/>
        </w:rPr>
        <w:t>1132</w:t>
      </w:r>
    </w:p>
    <w:p w14:paraId="3B1AE68E" w14:textId="77777777" w:rsidR="007C2ACF" w:rsidRPr="007C2ACF" w:rsidRDefault="007C2ACF" w:rsidP="007C2ACF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120BB98B" w14:textId="676ADC16" w:rsidR="00E50CD6" w:rsidRDefault="00C30F73" w:rsidP="007C2ACF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14</w:t>
      </w:r>
      <w:r w:rsidR="00E50CD6">
        <w:rPr>
          <w:rFonts w:ascii="Book Antiqua" w:hAnsi="Book Antiqua"/>
          <w:lang w:val="es-ES_tradnl"/>
        </w:rPr>
        <w:t xml:space="preserve"> DE </w:t>
      </w:r>
      <w:r w:rsidR="008439D2">
        <w:rPr>
          <w:rFonts w:ascii="Book Antiqua" w:hAnsi="Book Antiqua"/>
          <w:lang w:val="es-ES_tradnl"/>
        </w:rPr>
        <w:t xml:space="preserve">ENERO </w:t>
      </w:r>
      <w:r w:rsidR="00E50CD6">
        <w:rPr>
          <w:rFonts w:ascii="Book Antiqua" w:hAnsi="Book Antiqua"/>
          <w:lang w:val="es-ES_tradnl"/>
        </w:rPr>
        <w:t>DE 2</w:t>
      </w:r>
      <w:r w:rsidR="00A32ACF">
        <w:rPr>
          <w:rFonts w:ascii="Book Antiqua" w:hAnsi="Book Antiqua"/>
          <w:lang w:val="es-ES_tradnl"/>
        </w:rPr>
        <w:t>0</w:t>
      </w:r>
      <w:r w:rsidR="008439D2">
        <w:rPr>
          <w:rFonts w:ascii="Book Antiqua" w:hAnsi="Book Antiqua"/>
          <w:lang w:val="es-ES_tradnl"/>
        </w:rPr>
        <w:t>22</w:t>
      </w:r>
    </w:p>
    <w:p w14:paraId="66D9C8CF" w14:textId="77777777" w:rsidR="007C2ACF" w:rsidRDefault="007C2ACF" w:rsidP="007C2ACF">
      <w:pPr>
        <w:jc w:val="center"/>
        <w:rPr>
          <w:rFonts w:ascii="Book Antiqua" w:hAnsi="Book Antiqua"/>
          <w:lang w:val="es-ES_tradnl"/>
        </w:rPr>
      </w:pPr>
    </w:p>
    <w:p w14:paraId="4BF999B2" w14:textId="77777777" w:rsidR="00E50CD6" w:rsidRDefault="00E50CD6" w:rsidP="007C2ACF">
      <w:pPr>
        <w:jc w:val="center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lang w:val="es-ES_tradnl"/>
        </w:rPr>
        <w:t xml:space="preserve">Presentado por el representante </w:t>
      </w:r>
      <w:r>
        <w:rPr>
          <w:rFonts w:ascii="Book Antiqua" w:hAnsi="Book Antiqua"/>
          <w:i/>
          <w:lang w:val="es-ES_tradnl"/>
        </w:rPr>
        <w:t>Pérez Ortiz</w:t>
      </w:r>
    </w:p>
    <w:p w14:paraId="418A1C1A" w14:textId="77777777" w:rsidR="007C2ACF" w:rsidRDefault="007C2ACF" w:rsidP="007C2ACF">
      <w:pPr>
        <w:jc w:val="center"/>
        <w:rPr>
          <w:rFonts w:ascii="Book Antiqua" w:hAnsi="Book Antiqua"/>
          <w:lang w:val="es-ES_tradnl"/>
        </w:rPr>
      </w:pPr>
    </w:p>
    <w:p w14:paraId="6A64F480" w14:textId="459D057C" w:rsidR="00E50CD6" w:rsidRDefault="00E50CD6" w:rsidP="007C2ACF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Referido a </w:t>
      </w:r>
      <w:r w:rsidR="00162588">
        <w:rPr>
          <w:rFonts w:ascii="Book Antiqua" w:hAnsi="Book Antiqua"/>
          <w:lang w:val="es-ES_tradnl"/>
        </w:rPr>
        <w:t>la Comisión de Transportación, Infraestructura y Obras Públicas</w:t>
      </w:r>
    </w:p>
    <w:p w14:paraId="3E04B149" w14:textId="77777777" w:rsidR="00E50CD6" w:rsidRDefault="00E50CD6" w:rsidP="007C2ACF">
      <w:pPr>
        <w:jc w:val="both"/>
        <w:rPr>
          <w:rFonts w:ascii="Book Antiqua" w:hAnsi="Book Antiqua"/>
          <w:lang w:val="es-ES_tradnl"/>
        </w:rPr>
      </w:pPr>
    </w:p>
    <w:p w14:paraId="55120EBE" w14:textId="77777777" w:rsidR="00E50CD6" w:rsidRDefault="00E50CD6" w:rsidP="007C2ACF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LEY</w:t>
      </w:r>
    </w:p>
    <w:p w14:paraId="30CC64F8" w14:textId="77777777" w:rsidR="00E50CD6" w:rsidRPr="00C97665" w:rsidRDefault="00E50CD6" w:rsidP="007C2ACF">
      <w:pPr>
        <w:jc w:val="both"/>
        <w:rPr>
          <w:rFonts w:ascii="Book Antiqua" w:hAnsi="Book Antiqua"/>
          <w:lang w:val="es-ES_tradnl"/>
        </w:rPr>
      </w:pPr>
    </w:p>
    <w:p w14:paraId="2C4A3EAF" w14:textId="23196160" w:rsidR="00E50CD6" w:rsidRPr="00C97665" w:rsidRDefault="00E50CD6" w:rsidP="00FF3F56">
      <w:pPr>
        <w:ind w:left="720" w:hanging="720"/>
        <w:jc w:val="both"/>
        <w:rPr>
          <w:rFonts w:ascii="Book Antiqua" w:hAnsi="Book Antiqua"/>
          <w:lang w:val="es-ES_tradnl"/>
        </w:rPr>
      </w:pPr>
      <w:r w:rsidRPr="00C97665">
        <w:rPr>
          <w:rFonts w:ascii="Book Antiqua" w:hAnsi="Book Antiqua"/>
          <w:lang w:val="es-ES_tradnl"/>
        </w:rPr>
        <w:t xml:space="preserve">Para enmendar el </w:t>
      </w:r>
      <w:r w:rsidR="00D770E3" w:rsidRPr="00C97665">
        <w:rPr>
          <w:rFonts w:ascii="Book Antiqua" w:hAnsi="Book Antiqua"/>
          <w:lang w:val="es-ES_tradnl"/>
        </w:rPr>
        <w:t xml:space="preserve">inciso (j) del </w:t>
      </w:r>
      <w:r w:rsidR="005F45E5" w:rsidRPr="00C97665">
        <w:rPr>
          <w:rFonts w:ascii="Book Antiqua" w:hAnsi="Book Antiqua"/>
          <w:lang w:val="es-ES_tradnl"/>
        </w:rPr>
        <w:t>A</w:t>
      </w:r>
      <w:r w:rsidRPr="00C97665">
        <w:rPr>
          <w:rFonts w:ascii="Book Antiqua" w:hAnsi="Book Antiqua"/>
          <w:lang w:val="es-ES_tradnl"/>
        </w:rPr>
        <w:t xml:space="preserve">rtículo </w:t>
      </w:r>
      <w:r w:rsidR="00D770E3" w:rsidRPr="00C97665">
        <w:rPr>
          <w:rFonts w:ascii="Book Antiqua" w:hAnsi="Book Antiqua"/>
          <w:lang w:val="es-ES_tradnl"/>
        </w:rPr>
        <w:t>8.02</w:t>
      </w:r>
      <w:r w:rsidRPr="00C97665">
        <w:rPr>
          <w:rFonts w:ascii="Book Antiqua" w:hAnsi="Book Antiqua"/>
          <w:lang w:val="es-ES_tradnl"/>
        </w:rPr>
        <w:t xml:space="preserve"> de la </w:t>
      </w:r>
      <w:r w:rsidR="00A32ACF" w:rsidRPr="00C97665">
        <w:rPr>
          <w:rFonts w:ascii="Book Antiqua" w:hAnsi="Book Antiqua"/>
          <w:lang w:val="es-ES_tradnl"/>
        </w:rPr>
        <w:t xml:space="preserve">Ley </w:t>
      </w:r>
      <w:r w:rsidR="00245994" w:rsidRPr="00C97665">
        <w:rPr>
          <w:rFonts w:ascii="Book Antiqua" w:hAnsi="Book Antiqua"/>
          <w:iCs/>
          <w:lang w:val="es-ES_tradnl"/>
        </w:rPr>
        <w:t>Núm. 22-</w:t>
      </w:r>
      <w:r w:rsidR="00A32ACF" w:rsidRPr="00C97665">
        <w:rPr>
          <w:rFonts w:ascii="Book Antiqua" w:hAnsi="Book Antiqua"/>
          <w:lang w:val="es-ES_tradnl"/>
        </w:rPr>
        <w:t>2000</w:t>
      </w:r>
      <w:r w:rsidRPr="00C97665">
        <w:rPr>
          <w:rFonts w:ascii="Book Antiqua" w:hAnsi="Book Antiqua"/>
          <w:lang w:val="es-ES_tradnl"/>
        </w:rPr>
        <w:t xml:space="preserve">, según enmendada, conocida como “Ley de Vehículos y Tránsito de Puerto Rico”, </w:t>
      </w:r>
      <w:r w:rsidR="00D770E3" w:rsidRPr="00C97665">
        <w:rPr>
          <w:rFonts w:ascii="Book Antiqua" w:hAnsi="Book Antiqua"/>
          <w:lang w:val="es-ES_tradnl"/>
        </w:rPr>
        <w:t xml:space="preserve">para aclarar que la suspensión de la licencia de conducir por pasar la luz roja por </w:t>
      </w:r>
      <w:r w:rsidR="005F45E5" w:rsidRPr="00C97665">
        <w:rPr>
          <w:rFonts w:ascii="Book Antiqua" w:hAnsi="Book Antiqua"/>
          <w:lang w:val="es-ES_tradnl"/>
        </w:rPr>
        <w:t xml:space="preserve">tres (3) </w:t>
      </w:r>
      <w:r w:rsidR="00D770E3" w:rsidRPr="00C97665">
        <w:rPr>
          <w:rFonts w:ascii="Book Antiqua" w:hAnsi="Book Antiqua"/>
          <w:lang w:val="es-ES_tradnl"/>
        </w:rPr>
        <w:t>ocasiones será por infracciones dentro del periodo de vigencia de la licencia</w:t>
      </w:r>
      <w:r w:rsidR="00A32ACF" w:rsidRPr="00C97665">
        <w:rPr>
          <w:rFonts w:ascii="Book Antiqua" w:hAnsi="Book Antiqua"/>
          <w:lang w:val="es-ES_tradnl"/>
        </w:rPr>
        <w:t xml:space="preserve">; y para otros fines relacionados. </w:t>
      </w:r>
    </w:p>
    <w:p w14:paraId="37538914" w14:textId="77777777" w:rsidR="007C2ACF" w:rsidRDefault="007C2ACF" w:rsidP="007C2ACF">
      <w:pPr>
        <w:ind w:left="360" w:hanging="360"/>
        <w:jc w:val="both"/>
        <w:rPr>
          <w:rFonts w:ascii="Book Antiqua" w:hAnsi="Book Antiqua"/>
          <w:lang w:val="es-ES_tradnl"/>
        </w:rPr>
      </w:pPr>
    </w:p>
    <w:p w14:paraId="1ABEA560" w14:textId="77777777" w:rsidR="00E50CD6" w:rsidRDefault="00E50CD6" w:rsidP="007C2ACF">
      <w:pPr>
        <w:ind w:firstLine="36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EXPOSICIÓN DE MOTIVOS</w:t>
      </w:r>
    </w:p>
    <w:p w14:paraId="1EDB16F0" w14:textId="77777777" w:rsidR="007C2ACF" w:rsidRDefault="007C2ACF" w:rsidP="007C2ACF">
      <w:pPr>
        <w:ind w:firstLine="360"/>
        <w:jc w:val="center"/>
        <w:rPr>
          <w:rFonts w:ascii="Book Antiqua" w:hAnsi="Book Antiqua"/>
          <w:lang w:val="es-ES_tradnl"/>
        </w:rPr>
      </w:pPr>
    </w:p>
    <w:p w14:paraId="560BBE77" w14:textId="1FB9608A" w:rsidR="00E50CD6" w:rsidRDefault="005D3CBC" w:rsidP="00FF3F56">
      <w:pPr>
        <w:ind w:firstLine="720"/>
        <w:jc w:val="both"/>
        <w:rPr>
          <w:rFonts w:ascii="Book Antiqua" w:hAnsi="Book Antiqua"/>
          <w:lang w:val="es-ES_tradnl"/>
        </w:rPr>
      </w:pPr>
      <w:r w:rsidRPr="00C97665">
        <w:rPr>
          <w:rFonts w:ascii="Book Antiqua" w:hAnsi="Book Antiqua"/>
          <w:lang w:val="es-ES_tradnl"/>
        </w:rPr>
        <w:t xml:space="preserve">La </w:t>
      </w:r>
      <w:r w:rsidR="00A32ACF" w:rsidRPr="00C97665">
        <w:rPr>
          <w:rFonts w:ascii="Book Antiqua" w:hAnsi="Book Antiqua"/>
          <w:lang w:val="es-ES_tradnl"/>
        </w:rPr>
        <w:t xml:space="preserve">Ley </w:t>
      </w:r>
      <w:r w:rsidR="00245994" w:rsidRPr="00C97665">
        <w:rPr>
          <w:rFonts w:ascii="Book Antiqua" w:hAnsi="Book Antiqua"/>
          <w:iCs/>
          <w:lang w:val="es-ES_tradnl"/>
        </w:rPr>
        <w:t>Núm. 22-</w:t>
      </w:r>
      <w:r w:rsidR="00A32ACF" w:rsidRPr="00C97665">
        <w:rPr>
          <w:rFonts w:ascii="Book Antiqua" w:hAnsi="Book Antiqua"/>
          <w:lang w:val="es-ES_tradnl"/>
        </w:rPr>
        <w:t>2000</w:t>
      </w:r>
      <w:r w:rsidRPr="00C97665">
        <w:rPr>
          <w:rFonts w:ascii="Book Antiqua" w:hAnsi="Book Antiqua"/>
          <w:lang w:val="es-ES_tradnl"/>
        </w:rPr>
        <w:t xml:space="preserve">, según enmendada, </w:t>
      </w:r>
      <w:r w:rsidR="00D40902" w:rsidRPr="00C97665">
        <w:rPr>
          <w:rFonts w:ascii="Book Antiqua" w:hAnsi="Book Antiqua"/>
          <w:lang w:val="es-ES_tradnl"/>
        </w:rPr>
        <w:t xml:space="preserve">en el inciso (j) del </w:t>
      </w:r>
      <w:r w:rsidR="005F45E5" w:rsidRPr="00C97665">
        <w:rPr>
          <w:rFonts w:ascii="Book Antiqua" w:hAnsi="Book Antiqua"/>
          <w:lang w:val="es-ES_tradnl"/>
        </w:rPr>
        <w:t>A</w:t>
      </w:r>
      <w:r w:rsidR="00D40902" w:rsidRPr="00C97665">
        <w:rPr>
          <w:rFonts w:ascii="Book Antiqua" w:hAnsi="Book Antiqua"/>
          <w:lang w:val="es-ES_tradnl"/>
        </w:rPr>
        <w:t xml:space="preserve">rtículo 8.02, dispone que la multa administrativa que se pagará por pasar la luz roja sin haberse detenido </w:t>
      </w:r>
      <w:r w:rsidR="007B229E" w:rsidRPr="00C97665">
        <w:rPr>
          <w:rFonts w:ascii="Book Antiqua" w:hAnsi="Book Antiqua"/>
          <w:lang w:val="es-ES_tradnl"/>
        </w:rPr>
        <w:t>será de</w:t>
      </w:r>
      <w:r w:rsidR="005F45E5" w:rsidRPr="00C97665">
        <w:rPr>
          <w:rFonts w:ascii="Book Antiqua" w:hAnsi="Book Antiqua"/>
          <w:lang w:val="es-ES_tradnl"/>
        </w:rPr>
        <w:t xml:space="preserve"> quinientos </w:t>
      </w:r>
      <w:r w:rsidR="007B229E" w:rsidRPr="00C97665">
        <w:rPr>
          <w:rFonts w:ascii="Book Antiqua" w:hAnsi="Book Antiqua"/>
          <w:lang w:val="es-ES_tradnl"/>
        </w:rPr>
        <w:t>dólares</w:t>
      </w:r>
      <w:r w:rsidR="005F45E5" w:rsidRPr="00C97665">
        <w:rPr>
          <w:rFonts w:ascii="Book Antiqua" w:hAnsi="Book Antiqua"/>
          <w:lang w:val="es-ES_tradnl"/>
        </w:rPr>
        <w:t xml:space="preserve"> ($500.00)</w:t>
      </w:r>
      <w:r w:rsidR="007B229E" w:rsidRPr="00C97665">
        <w:rPr>
          <w:rFonts w:ascii="Book Antiqua" w:hAnsi="Book Antiqua"/>
          <w:lang w:val="es-ES_tradnl"/>
        </w:rPr>
        <w:t xml:space="preserve">. Dicho </w:t>
      </w:r>
      <w:r w:rsidR="005F45E5" w:rsidRPr="00C97665">
        <w:rPr>
          <w:rFonts w:ascii="Book Antiqua" w:hAnsi="Book Antiqua"/>
          <w:lang w:val="es-ES_tradnl"/>
        </w:rPr>
        <w:t>A</w:t>
      </w:r>
      <w:r w:rsidR="007B229E" w:rsidRPr="00C97665">
        <w:rPr>
          <w:rFonts w:ascii="Book Antiqua" w:hAnsi="Book Antiqua"/>
          <w:lang w:val="es-ES_tradnl"/>
        </w:rPr>
        <w:t>rtículo también establece que cuando la persona cometa la misma</w:t>
      </w:r>
      <w:r w:rsidR="007B229E">
        <w:rPr>
          <w:rFonts w:ascii="Book Antiqua" w:hAnsi="Book Antiqua"/>
          <w:lang w:val="es-ES_tradnl"/>
        </w:rPr>
        <w:t xml:space="preserve"> infracción en </w:t>
      </w:r>
      <w:r w:rsidR="005F45E5">
        <w:rPr>
          <w:rFonts w:ascii="Book Antiqua" w:hAnsi="Book Antiqua"/>
          <w:lang w:val="es-ES_tradnl"/>
        </w:rPr>
        <w:t>tres (</w:t>
      </w:r>
      <w:r w:rsidR="007B229E">
        <w:rPr>
          <w:rFonts w:ascii="Book Antiqua" w:hAnsi="Book Antiqua"/>
          <w:lang w:val="es-ES_tradnl"/>
        </w:rPr>
        <w:t>3</w:t>
      </w:r>
      <w:r w:rsidR="005F45E5">
        <w:rPr>
          <w:rFonts w:ascii="Book Antiqua" w:hAnsi="Book Antiqua"/>
          <w:lang w:val="es-ES_tradnl"/>
        </w:rPr>
        <w:t>)</w:t>
      </w:r>
      <w:r w:rsidR="007B229E">
        <w:rPr>
          <w:rFonts w:ascii="Book Antiqua" w:hAnsi="Book Antiqua"/>
          <w:lang w:val="es-ES_tradnl"/>
        </w:rPr>
        <w:t xml:space="preserve"> ocasiones se le suspenderá la licencia por tres</w:t>
      </w:r>
      <w:r w:rsidR="005F45E5">
        <w:rPr>
          <w:rFonts w:ascii="Book Antiqua" w:hAnsi="Book Antiqua"/>
          <w:lang w:val="es-ES_tradnl"/>
        </w:rPr>
        <w:t xml:space="preserve"> (3)</w:t>
      </w:r>
      <w:r w:rsidR="007B229E">
        <w:rPr>
          <w:rFonts w:ascii="Book Antiqua" w:hAnsi="Book Antiqua"/>
          <w:lang w:val="es-ES_tradnl"/>
        </w:rPr>
        <w:t xml:space="preserve"> años.  Como está redactada </w:t>
      </w:r>
      <w:r w:rsidR="008F649B">
        <w:rPr>
          <w:rFonts w:ascii="Book Antiqua" w:hAnsi="Book Antiqua"/>
          <w:lang w:val="es-ES_tradnl"/>
        </w:rPr>
        <w:t>esta disposición, sujeta al conductor durante el resto de su vida a una suspensión de su licencia de conducir por tres</w:t>
      </w:r>
      <w:r w:rsidR="005F45E5">
        <w:rPr>
          <w:rFonts w:ascii="Book Antiqua" w:hAnsi="Book Antiqua"/>
          <w:lang w:val="es-ES_tradnl"/>
        </w:rPr>
        <w:t xml:space="preserve"> (3)</w:t>
      </w:r>
      <w:r w:rsidR="008F649B">
        <w:rPr>
          <w:rFonts w:ascii="Book Antiqua" w:hAnsi="Book Antiqua"/>
          <w:lang w:val="es-ES_tradnl"/>
        </w:rPr>
        <w:t xml:space="preserve"> años, </w:t>
      </w:r>
      <w:r w:rsidR="002E37BC">
        <w:rPr>
          <w:rFonts w:ascii="Book Antiqua" w:hAnsi="Book Antiqua"/>
          <w:lang w:val="es-ES_tradnl"/>
        </w:rPr>
        <w:t>mientras</w:t>
      </w:r>
      <w:r w:rsidR="008F649B">
        <w:rPr>
          <w:rFonts w:ascii="Book Antiqua" w:hAnsi="Book Antiqua"/>
          <w:lang w:val="es-ES_tradnl"/>
        </w:rPr>
        <w:t xml:space="preserve"> la </w:t>
      </w:r>
      <w:r w:rsidR="002E37BC">
        <w:rPr>
          <w:rFonts w:ascii="Book Antiqua" w:hAnsi="Book Antiqua"/>
          <w:lang w:val="es-ES_tradnl"/>
        </w:rPr>
        <w:t>mantenga</w:t>
      </w:r>
      <w:r w:rsidR="008F649B">
        <w:rPr>
          <w:rFonts w:ascii="Book Antiqua" w:hAnsi="Book Antiqua"/>
          <w:lang w:val="es-ES_tradnl"/>
        </w:rPr>
        <w:t xml:space="preserve"> vigente.</w:t>
      </w:r>
    </w:p>
    <w:p w14:paraId="1B96CDCC" w14:textId="77777777" w:rsidR="007C2ACF" w:rsidRDefault="007C2ACF" w:rsidP="00FF3F56">
      <w:pPr>
        <w:ind w:firstLine="720"/>
        <w:jc w:val="both"/>
        <w:rPr>
          <w:rFonts w:ascii="Book Antiqua" w:hAnsi="Book Antiqua"/>
          <w:lang w:val="es-ES_tradnl"/>
        </w:rPr>
      </w:pPr>
    </w:p>
    <w:p w14:paraId="0361DA8A" w14:textId="77777777" w:rsidR="008F649B" w:rsidRDefault="008F649B" w:rsidP="00FF3F56">
      <w:pPr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Es un principio reconocido que las medidas punitivas deben estar basadas en criterios de razonabilidad.  Es decir, que debe haber proporción entre la penalidad, la transgresión y el valor que la sociedad intenta proteger.</w:t>
      </w:r>
    </w:p>
    <w:p w14:paraId="5C0981ED" w14:textId="77777777" w:rsidR="007C2ACF" w:rsidRDefault="007C2ACF" w:rsidP="00FF3F56">
      <w:pPr>
        <w:ind w:firstLine="720"/>
        <w:jc w:val="both"/>
        <w:rPr>
          <w:rFonts w:ascii="Book Antiqua" w:hAnsi="Book Antiqua"/>
          <w:lang w:val="es-ES_tradnl"/>
        </w:rPr>
      </w:pPr>
    </w:p>
    <w:p w14:paraId="73CA37DD" w14:textId="1A2154FA" w:rsidR="007B229E" w:rsidRPr="00C97665" w:rsidRDefault="008F649B" w:rsidP="00FF3F56">
      <w:pPr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Esta Asamblea Legislativa reconoce que la</w:t>
      </w:r>
      <w:r w:rsidR="007847F6">
        <w:rPr>
          <w:rFonts w:ascii="Book Antiqua" w:hAnsi="Book Antiqua"/>
          <w:lang w:val="es-ES_tradnl"/>
        </w:rPr>
        <w:t>s</w:t>
      </w:r>
      <w:r>
        <w:rPr>
          <w:rFonts w:ascii="Book Antiqua" w:hAnsi="Book Antiqua"/>
          <w:lang w:val="es-ES_tradnl"/>
        </w:rPr>
        <w:t xml:space="preserve"> </w:t>
      </w:r>
      <w:r w:rsidR="007847F6">
        <w:rPr>
          <w:rFonts w:ascii="Book Antiqua" w:hAnsi="Book Antiqua"/>
          <w:lang w:val="es-ES_tradnl"/>
        </w:rPr>
        <w:t>normas de tránsito</w:t>
      </w:r>
      <w:r>
        <w:rPr>
          <w:rFonts w:ascii="Book Antiqua" w:hAnsi="Book Antiqua"/>
          <w:lang w:val="es-ES_tradnl"/>
        </w:rPr>
        <w:t xml:space="preserve"> </w:t>
      </w:r>
      <w:r w:rsidR="007847F6">
        <w:rPr>
          <w:rFonts w:ascii="Book Antiqua" w:hAnsi="Book Antiqua"/>
          <w:lang w:val="es-ES_tradnl"/>
        </w:rPr>
        <w:t>son importantes</w:t>
      </w:r>
      <w:r>
        <w:rPr>
          <w:rFonts w:ascii="Book Antiqua" w:hAnsi="Book Antiqua"/>
          <w:lang w:val="es-ES_tradnl"/>
        </w:rPr>
        <w:t xml:space="preserve"> para </w:t>
      </w:r>
      <w:r w:rsidR="007847F6">
        <w:rPr>
          <w:rFonts w:ascii="Book Antiqua" w:hAnsi="Book Antiqua"/>
          <w:lang w:val="es-ES_tradnl"/>
        </w:rPr>
        <w:t xml:space="preserve">la seguridad de todos los transeúntes.  No obstante, </w:t>
      </w:r>
      <w:r w:rsidR="00EE4744">
        <w:rPr>
          <w:rFonts w:ascii="Book Antiqua" w:hAnsi="Book Antiqua"/>
          <w:lang w:val="es-ES_tradnl"/>
        </w:rPr>
        <w:t xml:space="preserve">el término al cual un conductor </w:t>
      </w:r>
      <w:r w:rsidR="00EE4744">
        <w:rPr>
          <w:rFonts w:ascii="Book Antiqua" w:hAnsi="Book Antiqua"/>
          <w:lang w:val="es-ES_tradnl"/>
        </w:rPr>
        <w:lastRenderedPageBreak/>
        <w:t xml:space="preserve">está sujeto a la suspensión de la licencia por </w:t>
      </w:r>
      <w:r w:rsidR="005F45E5">
        <w:rPr>
          <w:rFonts w:ascii="Book Antiqua" w:hAnsi="Book Antiqua"/>
          <w:lang w:val="es-ES_tradnl"/>
        </w:rPr>
        <w:t xml:space="preserve">tres (3) </w:t>
      </w:r>
      <w:r w:rsidR="00EE4744">
        <w:rPr>
          <w:rFonts w:ascii="Book Antiqua" w:hAnsi="Book Antiqua"/>
          <w:lang w:val="es-ES_tradnl"/>
        </w:rPr>
        <w:t xml:space="preserve">años es excesivo; lo cual es desproporcionado y, por ende, irrazonable.  </w:t>
      </w:r>
      <w:r w:rsidR="002E37BC">
        <w:rPr>
          <w:rFonts w:ascii="Book Antiqua" w:hAnsi="Book Antiqua"/>
          <w:lang w:val="es-ES_tradnl"/>
        </w:rPr>
        <w:t>Para cumplir con el criterio de razonabilidad</w:t>
      </w:r>
      <w:r w:rsidR="00EE4744">
        <w:rPr>
          <w:rFonts w:ascii="Book Antiqua" w:hAnsi="Book Antiqua"/>
          <w:lang w:val="es-ES_tradnl"/>
        </w:rPr>
        <w:t xml:space="preserve">, esta </w:t>
      </w:r>
      <w:r w:rsidR="005F45E5">
        <w:rPr>
          <w:rFonts w:ascii="Book Antiqua" w:hAnsi="Book Antiqua"/>
          <w:lang w:val="es-ES_tradnl"/>
        </w:rPr>
        <w:t>L</w:t>
      </w:r>
      <w:r w:rsidR="002E37BC">
        <w:rPr>
          <w:rFonts w:ascii="Book Antiqua" w:hAnsi="Book Antiqua"/>
          <w:lang w:val="es-ES_tradnl"/>
        </w:rPr>
        <w:t xml:space="preserve">ey establece que el conductor está sujeto a la suspensión de tres </w:t>
      </w:r>
      <w:r w:rsidR="005F45E5">
        <w:rPr>
          <w:rFonts w:ascii="Book Antiqua" w:hAnsi="Book Antiqua"/>
          <w:lang w:val="es-ES_tradnl"/>
        </w:rPr>
        <w:t xml:space="preserve">(3) </w:t>
      </w:r>
      <w:r w:rsidR="002E37BC">
        <w:rPr>
          <w:rFonts w:ascii="Book Antiqua" w:hAnsi="Book Antiqua"/>
          <w:lang w:val="es-ES_tradnl"/>
        </w:rPr>
        <w:t xml:space="preserve">años de su licencia de conducir si </w:t>
      </w:r>
      <w:r w:rsidR="002E37BC" w:rsidRPr="00C97665">
        <w:rPr>
          <w:rFonts w:ascii="Book Antiqua" w:hAnsi="Book Antiqua"/>
          <w:lang w:val="es-ES_tradnl"/>
        </w:rPr>
        <w:t xml:space="preserve">comete la infracción dispuesta en el inciso (j) del </w:t>
      </w:r>
      <w:r w:rsidR="005F45E5" w:rsidRPr="00C97665">
        <w:rPr>
          <w:rFonts w:ascii="Book Antiqua" w:hAnsi="Book Antiqua"/>
          <w:lang w:val="es-ES_tradnl"/>
        </w:rPr>
        <w:t>A</w:t>
      </w:r>
      <w:r w:rsidR="002E37BC" w:rsidRPr="00C97665">
        <w:rPr>
          <w:rFonts w:ascii="Book Antiqua" w:hAnsi="Book Antiqua"/>
          <w:lang w:val="es-ES_tradnl"/>
        </w:rPr>
        <w:t xml:space="preserve">rtículo 8.02 de dicha </w:t>
      </w:r>
      <w:r w:rsidR="005F45E5" w:rsidRPr="00C97665">
        <w:rPr>
          <w:rFonts w:ascii="Book Antiqua" w:hAnsi="Book Antiqua"/>
          <w:lang w:val="es-ES_tradnl"/>
        </w:rPr>
        <w:t>L</w:t>
      </w:r>
      <w:r w:rsidR="002E37BC" w:rsidRPr="00C97665">
        <w:rPr>
          <w:rFonts w:ascii="Book Antiqua" w:hAnsi="Book Antiqua"/>
          <w:lang w:val="es-ES_tradnl"/>
        </w:rPr>
        <w:t xml:space="preserve">ey dentro de un periodo de vigencia de </w:t>
      </w:r>
      <w:r w:rsidR="00A52703" w:rsidRPr="00C97665">
        <w:rPr>
          <w:rFonts w:ascii="Book Antiqua" w:hAnsi="Book Antiqua"/>
          <w:iCs/>
          <w:lang w:val="es-ES_tradnl"/>
        </w:rPr>
        <w:t>esta</w:t>
      </w:r>
      <w:r w:rsidR="002E37BC" w:rsidRPr="00C97665">
        <w:rPr>
          <w:rFonts w:ascii="Book Antiqua" w:hAnsi="Book Antiqua"/>
          <w:lang w:val="es-ES_tradnl"/>
        </w:rPr>
        <w:t>.</w:t>
      </w:r>
    </w:p>
    <w:p w14:paraId="2FCE002A" w14:textId="77777777" w:rsidR="002E37BC" w:rsidRDefault="002E37BC" w:rsidP="007C2ACF">
      <w:pPr>
        <w:ind w:firstLine="360"/>
        <w:jc w:val="both"/>
        <w:rPr>
          <w:rFonts w:ascii="Book Antiqua" w:hAnsi="Book Antiqua"/>
          <w:lang w:val="es-ES_tradnl"/>
        </w:rPr>
      </w:pPr>
    </w:p>
    <w:p w14:paraId="0CE90DDF" w14:textId="77777777" w:rsidR="00E50CD6" w:rsidRDefault="00E50CD6" w:rsidP="007C2ACF">
      <w:pPr>
        <w:spacing w:line="480" w:lineRule="auto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DECRÉTASE POR LA ASAMBLEA LEGISLATIVA DE PUERTO RICO:</w:t>
      </w:r>
    </w:p>
    <w:p w14:paraId="63C5E9D8" w14:textId="77777777" w:rsidR="00E50CD6" w:rsidRDefault="00E50CD6" w:rsidP="007C2ACF">
      <w:pPr>
        <w:spacing w:line="480" w:lineRule="auto"/>
        <w:jc w:val="both"/>
        <w:rPr>
          <w:rFonts w:ascii="Book Antiqua" w:hAnsi="Book Antiqua"/>
          <w:lang w:val="es-ES_tradnl"/>
        </w:rPr>
        <w:sectPr w:rsidR="00E50CD6" w:rsidSect="00A26637">
          <w:headerReference w:type="default" r:id="rId8"/>
          <w:type w:val="continuous"/>
          <w:pgSz w:w="12240" w:h="15840" w:code="1"/>
          <w:pgMar w:top="1440" w:right="1440" w:bottom="1080" w:left="1440" w:header="720" w:footer="720" w:gutter="0"/>
          <w:cols w:space="720"/>
          <w:titlePg/>
        </w:sectPr>
      </w:pPr>
    </w:p>
    <w:p w14:paraId="3AA8E866" w14:textId="0BC5ACE0" w:rsidR="00E50CD6" w:rsidRPr="00C97665" w:rsidRDefault="00FF3F56" w:rsidP="007C2ACF">
      <w:pPr>
        <w:spacing w:line="480" w:lineRule="auto"/>
        <w:ind w:firstLine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</w:r>
      <w:r w:rsidR="00B909D1" w:rsidRPr="00C97665">
        <w:rPr>
          <w:rFonts w:ascii="Book Antiqua" w:hAnsi="Book Antiqua"/>
          <w:lang w:val="es-ES_tradnl"/>
        </w:rPr>
        <w:t>Sección 1.-S</w:t>
      </w:r>
      <w:r w:rsidR="00D770E3" w:rsidRPr="00C97665">
        <w:rPr>
          <w:rFonts w:ascii="Book Antiqua" w:hAnsi="Book Antiqua"/>
          <w:lang w:val="es-ES_tradnl"/>
        </w:rPr>
        <w:t xml:space="preserve">e enmienda el inciso (j) del </w:t>
      </w:r>
      <w:r w:rsidR="00B909D1" w:rsidRPr="00C97665">
        <w:rPr>
          <w:rFonts w:ascii="Book Antiqua" w:hAnsi="Book Antiqua"/>
          <w:lang w:val="es-ES_tradnl"/>
        </w:rPr>
        <w:t>a</w:t>
      </w:r>
      <w:r w:rsidR="00D770E3" w:rsidRPr="00C97665">
        <w:rPr>
          <w:rFonts w:ascii="Book Antiqua" w:hAnsi="Book Antiqua"/>
          <w:lang w:val="es-ES_tradnl"/>
        </w:rPr>
        <w:t xml:space="preserve">rtículo 8.02 de la </w:t>
      </w:r>
      <w:r w:rsidR="00A32ACF" w:rsidRPr="00C97665">
        <w:rPr>
          <w:rFonts w:ascii="Book Antiqua" w:hAnsi="Book Antiqua"/>
          <w:lang w:val="es-ES_tradnl"/>
        </w:rPr>
        <w:t xml:space="preserve">Ley </w:t>
      </w:r>
      <w:r w:rsidR="00A52703" w:rsidRPr="00C97665">
        <w:rPr>
          <w:rFonts w:ascii="Book Antiqua" w:hAnsi="Book Antiqua"/>
          <w:iCs/>
          <w:lang w:val="es-ES_tradnl"/>
        </w:rPr>
        <w:t>Núm. 22-</w:t>
      </w:r>
      <w:r w:rsidR="00A32ACF" w:rsidRPr="00C97665">
        <w:rPr>
          <w:rFonts w:ascii="Book Antiqua" w:hAnsi="Book Antiqua"/>
          <w:lang w:val="es-ES_tradnl"/>
        </w:rPr>
        <w:t>2000</w:t>
      </w:r>
      <w:r w:rsidR="00D770E3" w:rsidRPr="00C97665">
        <w:rPr>
          <w:rFonts w:ascii="Book Antiqua" w:hAnsi="Book Antiqua"/>
          <w:lang w:val="es-ES_tradnl"/>
        </w:rPr>
        <w:t>, según enmendada, para que lea como sigue:</w:t>
      </w:r>
    </w:p>
    <w:p w14:paraId="7CE85E3A" w14:textId="77777777" w:rsidR="00D770E3" w:rsidRPr="00C97665" w:rsidRDefault="00FF3F56" w:rsidP="007C2ACF">
      <w:pPr>
        <w:spacing w:line="480" w:lineRule="auto"/>
        <w:ind w:firstLine="360"/>
        <w:jc w:val="both"/>
        <w:rPr>
          <w:rFonts w:ascii="Book Antiqua" w:hAnsi="Book Antiqua"/>
          <w:lang w:val="es-ES_tradnl"/>
        </w:rPr>
      </w:pPr>
      <w:r w:rsidRPr="00C97665">
        <w:rPr>
          <w:rFonts w:ascii="Book Antiqua" w:hAnsi="Book Antiqua"/>
          <w:lang w:val="es-ES_tradnl"/>
        </w:rPr>
        <w:tab/>
      </w:r>
      <w:r w:rsidR="007963EF" w:rsidRPr="00C97665">
        <w:rPr>
          <w:rFonts w:ascii="Book Antiqua" w:hAnsi="Book Antiqua"/>
          <w:lang w:val="es-ES_tradnl"/>
        </w:rPr>
        <w:t>“</w:t>
      </w:r>
      <w:r w:rsidRPr="00C97665">
        <w:rPr>
          <w:rFonts w:ascii="Book Antiqua" w:hAnsi="Book Antiqua"/>
          <w:lang w:val="es-ES_tradnl"/>
        </w:rPr>
        <w:t>Artículo 8.02.-</w:t>
      </w:r>
      <w:r w:rsidR="00D770E3" w:rsidRPr="00C97665">
        <w:rPr>
          <w:rFonts w:ascii="Book Antiqua" w:hAnsi="Book Antiqua"/>
          <w:lang w:val="es-ES_tradnl"/>
        </w:rPr>
        <w:t>Semáforos</w:t>
      </w:r>
    </w:p>
    <w:p w14:paraId="7973DAB7" w14:textId="77777777" w:rsidR="00616102" w:rsidRPr="00C97665" w:rsidRDefault="00FF3F56" w:rsidP="00FF3F56">
      <w:pPr>
        <w:spacing w:line="480" w:lineRule="auto"/>
        <w:ind w:left="720" w:firstLine="360"/>
        <w:jc w:val="both"/>
        <w:rPr>
          <w:rFonts w:ascii="Book Antiqua" w:eastAsia="Arial" w:hAnsi="Book Antiqua" w:cs="Arial"/>
          <w:szCs w:val="24"/>
          <w:lang w:val="es-PR"/>
        </w:rPr>
      </w:pPr>
      <w:r w:rsidRPr="00C97665">
        <w:rPr>
          <w:rFonts w:ascii="Book Antiqua" w:hAnsi="Book Antiqua"/>
          <w:lang w:val="es-ES_tradnl"/>
        </w:rPr>
        <w:tab/>
      </w:r>
      <w:r w:rsidR="00616102" w:rsidRPr="00C97665">
        <w:rPr>
          <w:rFonts w:ascii="Book Antiqua" w:hAnsi="Book Antiqua"/>
          <w:lang w:val="es-ES_tradnl"/>
        </w:rPr>
        <w:t xml:space="preserve">Cuando el tránsito esté controlado por semáforos que tengan luces de diferentes colores, </w:t>
      </w:r>
      <w:r w:rsidR="00616102" w:rsidRPr="00C97665">
        <w:rPr>
          <w:rFonts w:ascii="Book Antiqua" w:eastAsia="Arial" w:hAnsi="Book Antiqua" w:cs="Arial"/>
          <w:szCs w:val="24"/>
          <w:lang w:val="es-PR"/>
        </w:rPr>
        <w:t>o flechas en colores que enciendan una a la vez o en combinación, se usarán solamente los colores verde, rojo y amarillo, salvo en señales especiales para peatones con mensajes en palabras, y dichas luces indicarán y se aplicarán tanto a conductores de vehículos o vehículos de motor como a los peatones de la manera siguiente:</w:t>
      </w:r>
    </w:p>
    <w:p w14:paraId="6C9AA43A" w14:textId="77777777" w:rsidR="00616102" w:rsidRPr="00C97665" w:rsidRDefault="00616102" w:rsidP="00FF3F56">
      <w:pPr>
        <w:pStyle w:val="Prrafodelista"/>
        <w:numPr>
          <w:ilvl w:val="0"/>
          <w:numId w:val="1"/>
        </w:numPr>
        <w:spacing w:line="480" w:lineRule="auto"/>
        <w:ind w:left="1440" w:hanging="720"/>
        <w:jc w:val="both"/>
        <w:rPr>
          <w:rFonts w:ascii="Book Antiqua" w:hAnsi="Book Antiqua"/>
          <w:szCs w:val="24"/>
          <w:lang w:val="es-PR"/>
        </w:rPr>
      </w:pPr>
      <w:r w:rsidRPr="00C97665">
        <w:rPr>
          <w:rFonts w:ascii="Book Antiqua" w:hAnsi="Book Antiqua"/>
          <w:szCs w:val="24"/>
          <w:lang w:val="es-PR"/>
        </w:rPr>
        <w:t>Luz verde</w:t>
      </w:r>
    </w:p>
    <w:p w14:paraId="039B27C1" w14:textId="77777777" w:rsidR="00616102" w:rsidRPr="00C97665" w:rsidRDefault="00616102" w:rsidP="00FF3F56">
      <w:pPr>
        <w:pStyle w:val="Prrafodelista"/>
        <w:spacing w:line="480" w:lineRule="auto"/>
        <w:ind w:left="1440" w:hanging="720"/>
        <w:jc w:val="both"/>
        <w:rPr>
          <w:rFonts w:ascii="Book Antiqua" w:hAnsi="Book Antiqua"/>
          <w:szCs w:val="24"/>
          <w:lang w:val="es-PR"/>
        </w:rPr>
      </w:pPr>
      <w:r w:rsidRPr="00C97665">
        <w:rPr>
          <w:rFonts w:ascii="Book Antiqua" w:hAnsi="Book Antiqua"/>
          <w:szCs w:val="24"/>
          <w:lang w:val="es-PR"/>
        </w:rPr>
        <w:t>…</w:t>
      </w:r>
    </w:p>
    <w:p w14:paraId="7250D321" w14:textId="77777777" w:rsidR="00616102" w:rsidRPr="00C97665" w:rsidRDefault="00616102" w:rsidP="00FF3F56">
      <w:pPr>
        <w:pStyle w:val="Prrafodelista"/>
        <w:numPr>
          <w:ilvl w:val="0"/>
          <w:numId w:val="1"/>
        </w:numPr>
        <w:spacing w:line="480" w:lineRule="auto"/>
        <w:ind w:left="1440" w:hanging="720"/>
        <w:jc w:val="both"/>
        <w:rPr>
          <w:rFonts w:ascii="Book Antiqua" w:hAnsi="Book Antiqua"/>
          <w:szCs w:val="24"/>
          <w:lang w:val="es-PR"/>
        </w:rPr>
      </w:pPr>
      <w:r w:rsidRPr="00C97665">
        <w:rPr>
          <w:rFonts w:ascii="Book Antiqua" w:hAnsi="Book Antiqua"/>
          <w:szCs w:val="24"/>
          <w:lang w:val="es-PR"/>
        </w:rPr>
        <w:t>…</w:t>
      </w:r>
    </w:p>
    <w:p w14:paraId="21C085C9" w14:textId="77777777" w:rsidR="00616102" w:rsidRPr="00C97665" w:rsidRDefault="00616102" w:rsidP="00FF3F56">
      <w:pPr>
        <w:pStyle w:val="Prrafodelista"/>
        <w:numPr>
          <w:ilvl w:val="0"/>
          <w:numId w:val="1"/>
        </w:numPr>
        <w:spacing w:line="480" w:lineRule="auto"/>
        <w:ind w:left="1440" w:hanging="720"/>
        <w:jc w:val="both"/>
        <w:rPr>
          <w:rFonts w:ascii="Book Antiqua" w:hAnsi="Book Antiqua"/>
          <w:szCs w:val="24"/>
          <w:lang w:val="es-PR"/>
        </w:rPr>
      </w:pPr>
      <w:r w:rsidRPr="00C97665">
        <w:rPr>
          <w:rFonts w:ascii="Book Antiqua" w:hAnsi="Book Antiqua"/>
          <w:szCs w:val="24"/>
          <w:lang w:val="es-PR"/>
        </w:rPr>
        <w:t>…</w:t>
      </w:r>
    </w:p>
    <w:p w14:paraId="71D93FF7" w14:textId="77777777" w:rsidR="00616102" w:rsidRPr="00C97665" w:rsidRDefault="00616102" w:rsidP="00FF3F56">
      <w:pPr>
        <w:pStyle w:val="Prrafodelista"/>
        <w:numPr>
          <w:ilvl w:val="0"/>
          <w:numId w:val="1"/>
        </w:numPr>
        <w:spacing w:line="480" w:lineRule="auto"/>
        <w:ind w:left="1440" w:hanging="720"/>
        <w:jc w:val="both"/>
        <w:rPr>
          <w:rFonts w:ascii="Book Antiqua" w:hAnsi="Book Antiqua"/>
          <w:szCs w:val="24"/>
          <w:lang w:val="es-PR"/>
        </w:rPr>
      </w:pPr>
      <w:r w:rsidRPr="00C97665">
        <w:rPr>
          <w:rFonts w:ascii="Book Antiqua" w:hAnsi="Book Antiqua"/>
          <w:szCs w:val="24"/>
          <w:lang w:val="es-PR"/>
        </w:rPr>
        <w:t>…</w:t>
      </w:r>
    </w:p>
    <w:p w14:paraId="3677DFAA" w14:textId="77777777" w:rsidR="00616102" w:rsidRPr="00C97665" w:rsidRDefault="00616102" w:rsidP="00FF3F56">
      <w:pPr>
        <w:pStyle w:val="Prrafodelista"/>
        <w:numPr>
          <w:ilvl w:val="0"/>
          <w:numId w:val="1"/>
        </w:numPr>
        <w:spacing w:line="480" w:lineRule="auto"/>
        <w:ind w:left="1440" w:hanging="720"/>
        <w:jc w:val="both"/>
        <w:rPr>
          <w:rFonts w:ascii="Book Antiqua" w:hAnsi="Book Antiqua"/>
          <w:szCs w:val="24"/>
          <w:lang w:val="es-PR"/>
        </w:rPr>
      </w:pPr>
      <w:r w:rsidRPr="00C97665">
        <w:rPr>
          <w:rFonts w:ascii="Book Antiqua" w:hAnsi="Book Antiqua"/>
          <w:szCs w:val="24"/>
          <w:lang w:val="es-PR"/>
        </w:rPr>
        <w:t>…</w:t>
      </w:r>
    </w:p>
    <w:p w14:paraId="2FCC5D31" w14:textId="77777777" w:rsidR="00616102" w:rsidRPr="00C97665" w:rsidRDefault="00616102" w:rsidP="00FF3F56">
      <w:pPr>
        <w:pStyle w:val="Prrafodelista"/>
        <w:numPr>
          <w:ilvl w:val="0"/>
          <w:numId w:val="1"/>
        </w:numPr>
        <w:spacing w:line="480" w:lineRule="auto"/>
        <w:ind w:left="1440" w:hanging="720"/>
        <w:jc w:val="both"/>
        <w:rPr>
          <w:rFonts w:ascii="Book Antiqua" w:hAnsi="Book Antiqua"/>
          <w:szCs w:val="24"/>
          <w:lang w:val="es-PR"/>
        </w:rPr>
      </w:pPr>
      <w:r w:rsidRPr="00C97665">
        <w:rPr>
          <w:rFonts w:ascii="Book Antiqua" w:hAnsi="Book Antiqua"/>
          <w:szCs w:val="24"/>
          <w:lang w:val="es-PR"/>
        </w:rPr>
        <w:t>…</w:t>
      </w:r>
    </w:p>
    <w:p w14:paraId="4E1FF1DF" w14:textId="77777777" w:rsidR="00616102" w:rsidRPr="00C97665" w:rsidRDefault="00616102" w:rsidP="00FF3F56">
      <w:pPr>
        <w:pStyle w:val="Prrafodelista"/>
        <w:numPr>
          <w:ilvl w:val="0"/>
          <w:numId w:val="1"/>
        </w:numPr>
        <w:spacing w:line="480" w:lineRule="auto"/>
        <w:ind w:left="1440" w:hanging="720"/>
        <w:jc w:val="both"/>
        <w:rPr>
          <w:rFonts w:ascii="Book Antiqua" w:hAnsi="Book Antiqua"/>
          <w:szCs w:val="24"/>
          <w:lang w:val="es-PR"/>
        </w:rPr>
      </w:pPr>
      <w:r w:rsidRPr="00C97665">
        <w:rPr>
          <w:rFonts w:ascii="Book Antiqua" w:hAnsi="Book Antiqua"/>
          <w:szCs w:val="24"/>
          <w:lang w:val="es-PR"/>
        </w:rPr>
        <w:t>…</w:t>
      </w:r>
    </w:p>
    <w:p w14:paraId="3A8EE662" w14:textId="77777777" w:rsidR="00616102" w:rsidRPr="00C97665" w:rsidRDefault="00616102" w:rsidP="00FF3F56">
      <w:pPr>
        <w:pStyle w:val="Prrafodelista"/>
        <w:numPr>
          <w:ilvl w:val="0"/>
          <w:numId w:val="1"/>
        </w:numPr>
        <w:spacing w:line="480" w:lineRule="auto"/>
        <w:ind w:left="1440" w:hanging="720"/>
        <w:jc w:val="both"/>
        <w:rPr>
          <w:rFonts w:ascii="Book Antiqua" w:hAnsi="Book Antiqua"/>
          <w:szCs w:val="24"/>
          <w:lang w:val="es-PR"/>
        </w:rPr>
      </w:pPr>
      <w:r w:rsidRPr="00C97665">
        <w:rPr>
          <w:rFonts w:ascii="Book Antiqua" w:hAnsi="Book Antiqua"/>
          <w:szCs w:val="24"/>
          <w:lang w:val="es-PR"/>
        </w:rPr>
        <w:t>…</w:t>
      </w:r>
    </w:p>
    <w:p w14:paraId="1729066F" w14:textId="77777777" w:rsidR="00616102" w:rsidRPr="00C97665" w:rsidRDefault="00616102" w:rsidP="00FF3F56">
      <w:pPr>
        <w:pStyle w:val="Prrafodelista"/>
        <w:numPr>
          <w:ilvl w:val="0"/>
          <w:numId w:val="1"/>
        </w:numPr>
        <w:spacing w:line="480" w:lineRule="auto"/>
        <w:ind w:left="1440" w:hanging="720"/>
        <w:jc w:val="both"/>
        <w:rPr>
          <w:rFonts w:ascii="Book Antiqua" w:hAnsi="Book Antiqua"/>
          <w:szCs w:val="24"/>
          <w:lang w:val="es-PR"/>
        </w:rPr>
      </w:pPr>
      <w:r w:rsidRPr="00C97665">
        <w:rPr>
          <w:rFonts w:ascii="Book Antiqua" w:hAnsi="Book Antiqua"/>
          <w:szCs w:val="24"/>
          <w:lang w:val="es-PR"/>
        </w:rPr>
        <w:lastRenderedPageBreak/>
        <w:t>…</w:t>
      </w:r>
    </w:p>
    <w:p w14:paraId="1BE89915" w14:textId="5AF5ABE5" w:rsidR="00616102" w:rsidRPr="00C97665" w:rsidRDefault="00616102" w:rsidP="00FF3F56">
      <w:pPr>
        <w:pStyle w:val="Prrafodelista"/>
        <w:numPr>
          <w:ilvl w:val="0"/>
          <w:numId w:val="1"/>
        </w:numPr>
        <w:spacing w:line="480" w:lineRule="auto"/>
        <w:ind w:left="1440" w:hanging="720"/>
        <w:jc w:val="both"/>
        <w:rPr>
          <w:rFonts w:ascii="Book Antiqua" w:hAnsi="Book Antiqua"/>
          <w:szCs w:val="24"/>
          <w:lang w:val="es-PR"/>
        </w:rPr>
      </w:pPr>
      <w:r w:rsidRPr="00C97665">
        <w:rPr>
          <w:rFonts w:ascii="Book Antiqua" w:eastAsia="Arial" w:hAnsi="Book Antiqua" w:cs="Arial"/>
          <w:szCs w:val="24"/>
          <w:lang w:val="es-PR"/>
        </w:rPr>
        <w:t xml:space="preserve">Todo conductor que viole las disposiciones de esta </w:t>
      </w:r>
      <w:r w:rsidR="00A32ACF" w:rsidRPr="00C97665">
        <w:rPr>
          <w:rFonts w:ascii="Book Antiqua" w:eastAsia="Arial" w:hAnsi="Book Antiqua" w:cs="Arial"/>
          <w:szCs w:val="24"/>
          <w:lang w:val="es-PR"/>
        </w:rPr>
        <w:t>S</w:t>
      </w:r>
      <w:r w:rsidRPr="00C97665">
        <w:rPr>
          <w:rFonts w:ascii="Book Antiqua" w:eastAsia="Arial" w:hAnsi="Book Antiqua" w:cs="Arial"/>
          <w:szCs w:val="24"/>
          <w:lang w:val="es-PR"/>
        </w:rPr>
        <w:t>ección relativas a semáforos, incurrirá en falta administrativa y será sancionado con multa de trescientos (300) dólares; si lo hiciere de forma que pasara la luz roja sin haberse detenido, será sancionado con multa de quinientos (500) dólares, y en caso que la persona reincida por tres (3) ocasiones dentro del periodo de vigencia de su licencia de conducir será suspendida la misma por un término de tres (3) años.</w:t>
      </w:r>
      <w:r w:rsidR="007963EF" w:rsidRPr="00C97665">
        <w:rPr>
          <w:rFonts w:ascii="Book Antiqua" w:eastAsia="Arial" w:hAnsi="Book Antiqua" w:cs="Arial"/>
          <w:szCs w:val="24"/>
          <w:lang w:val="es-PR"/>
        </w:rPr>
        <w:t>”</w:t>
      </w:r>
    </w:p>
    <w:p w14:paraId="77328C1C" w14:textId="12FAB141" w:rsidR="00A32ACF" w:rsidRPr="00C97665" w:rsidRDefault="00A32ACF" w:rsidP="00A32ACF">
      <w:pPr>
        <w:spacing w:line="480" w:lineRule="auto"/>
        <w:ind w:left="720" w:firstLine="720"/>
        <w:jc w:val="both"/>
        <w:rPr>
          <w:rFonts w:ascii="Book Antiqua" w:hAnsi="Book Antiqua"/>
          <w:szCs w:val="24"/>
          <w:lang w:val="es-PR"/>
        </w:rPr>
      </w:pPr>
      <w:r w:rsidRPr="00C97665">
        <w:rPr>
          <w:rFonts w:ascii="Book Antiqua" w:hAnsi="Book Antiqua"/>
          <w:szCs w:val="24"/>
          <w:lang w:val="es-PR"/>
        </w:rPr>
        <w:t xml:space="preserve">Sección 2.- El </w:t>
      </w:r>
      <w:r w:rsidR="001C3625" w:rsidRPr="00C97665">
        <w:rPr>
          <w:rFonts w:ascii="Book Antiqua" w:hAnsi="Book Antiqua"/>
          <w:iCs/>
          <w:szCs w:val="24"/>
          <w:lang w:val="es-PR"/>
        </w:rPr>
        <w:t>secretario</w:t>
      </w:r>
      <w:r w:rsidR="001C3625" w:rsidRPr="00C97665">
        <w:rPr>
          <w:rFonts w:ascii="Book Antiqua" w:hAnsi="Book Antiqua"/>
          <w:szCs w:val="24"/>
          <w:lang w:val="es-PR"/>
        </w:rPr>
        <w:t xml:space="preserve"> </w:t>
      </w:r>
      <w:r w:rsidRPr="00C97665">
        <w:rPr>
          <w:rFonts w:ascii="Book Antiqua" w:hAnsi="Book Antiqua"/>
          <w:szCs w:val="24"/>
          <w:lang w:val="es-PR"/>
        </w:rPr>
        <w:t xml:space="preserve">del Departamento de </w:t>
      </w:r>
      <w:r w:rsidR="00A52703" w:rsidRPr="00C97665">
        <w:rPr>
          <w:rFonts w:ascii="Book Antiqua" w:hAnsi="Book Antiqua"/>
          <w:iCs/>
          <w:szCs w:val="24"/>
          <w:lang w:val="es-PR"/>
        </w:rPr>
        <w:t>Transportación y</w:t>
      </w:r>
      <w:r w:rsidR="00A52703" w:rsidRPr="00C97665">
        <w:rPr>
          <w:rFonts w:ascii="Book Antiqua" w:hAnsi="Book Antiqua"/>
          <w:szCs w:val="24"/>
          <w:lang w:val="es-PR"/>
        </w:rPr>
        <w:t xml:space="preserve"> </w:t>
      </w:r>
      <w:r w:rsidRPr="00C97665">
        <w:rPr>
          <w:rFonts w:ascii="Book Antiqua" w:hAnsi="Book Antiqua"/>
          <w:szCs w:val="24"/>
          <w:lang w:val="es-PR"/>
        </w:rPr>
        <w:t xml:space="preserve">Obras Públicas, el </w:t>
      </w:r>
      <w:r w:rsidR="001C3625" w:rsidRPr="00C97665">
        <w:rPr>
          <w:rFonts w:ascii="Book Antiqua" w:hAnsi="Book Antiqua"/>
          <w:iCs/>
          <w:szCs w:val="24"/>
          <w:lang w:val="es-PR"/>
        </w:rPr>
        <w:t>superintendente</w:t>
      </w:r>
      <w:r w:rsidRPr="00C97665">
        <w:rPr>
          <w:rFonts w:ascii="Book Antiqua" w:hAnsi="Book Antiqua"/>
          <w:iCs/>
          <w:szCs w:val="24"/>
          <w:lang w:val="es-PR"/>
        </w:rPr>
        <w:t xml:space="preserve"> </w:t>
      </w:r>
      <w:r w:rsidR="00A52703" w:rsidRPr="00C97665">
        <w:rPr>
          <w:rFonts w:ascii="Book Antiqua" w:hAnsi="Book Antiqua"/>
          <w:iCs/>
          <w:szCs w:val="24"/>
          <w:lang w:val="es-PR"/>
        </w:rPr>
        <w:t>del Negociado</w:t>
      </w:r>
      <w:r w:rsidR="00A52703" w:rsidRPr="00C97665">
        <w:rPr>
          <w:rFonts w:ascii="Book Antiqua" w:hAnsi="Book Antiqua"/>
          <w:szCs w:val="24"/>
          <w:lang w:val="es-PR"/>
        </w:rPr>
        <w:t xml:space="preserve"> </w:t>
      </w:r>
      <w:r w:rsidRPr="00C97665">
        <w:rPr>
          <w:rFonts w:ascii="Book Antiqua" w:hAnsi="Book Antiqua"/>
          <w:szCs w:val="24"/>
          <w:lang w:val="es-PR"/>
        </w:rPr>
        <w:t xml:space="preserve">de la Policía, el </w:t>
      </w:r>
      <w:r w:rsidR="001C3625" w:rsidRPr="00C97665">
        <w:rPr>
          <w:rFonts w:ascii="Book Antiqua" w:hAnsi="Book Antiqua"/>
          <w:iCs/>
          <w:szCs w:val="24"/>
          <w:lang w:val="es-PR"/>
        </w:rPr>
        <w:t>secretario</w:t>
      </w:r>
      <w:r w:rsidR="001C3625" w:rsidRPr="00C97665">
        <w:rPr>
          <w:rFonts w:ascii="Book Antiqua" w:hAnsi="Book Antiqua"/>
          <w:szCs w:val="24"/>
          <w:lang w:val="es-PR"/>
        </w:rPr>
        <w:t xml:space="preserve"> </w:t>
      </w:r>
      <w:r w:rsidRPr="00C97665">
        <w:rPr>
          <w:rFonts w:ascii="Book Antiqua" w:hAnsi="Book Antiqua"/>
          <w:szCs w:val="24"/>
          <w:lang w:val="es-PR"/>
        </w:rPr>
        <w:t>del Departamento de Seguridad Pública, así como cualquier otra agencia o instrumentalidad del Gobierno de Puerto Rico, tomarán las medidas necesarias para dar fiel cumplimiento a las disposiciones de esta Ley.</w:t>
      </w:r>
    </w:p>
    <w:p w14:paraId="45457C6A" w14:textId="61B9C178" w:rsidR="00616102" w:rsidRDefault="00B909D1" w:rsidP="00A32ACF">
      <w:pPr>
        <w:pStyle w:val="Prrafodelista"/>
        <w:spacing w:line="480" w:lineRule="auto"/>
        <w:ind w:firstLine="720"/>
        <w:jc w:val="both"/>
        <w:rPr>
          <w:rFonts w:ascii="Book Antiqua" w:eastAsia="Arial" w:hAnsi="Book Antiqua" w:cs="Arial"/>
          <w:szCs w:val="24"/>
          <w:lang w:val="es-PR"/>
        </w:rPr>
      </w:pPr>
      <w:r w:rsidRPr="00C97665">
        <w:rPr>
          <w:rFonts w:ascii="Book Antiqua" w:eastAsia="Arial" w:hAnsi="Book Antiqua" w:cs="Arial"/>
          <w:szCs w:val="24"/>
          <w:lang w:val="es-PR"/>
        </w:rPr>
        <w:t>Sección</w:t>
      </w:r>
      <w:r w:rsidR="00FF3F56" w:rsidRPr="00C97665">
        <w:rPr>
          <w:rFonts w:ascii="Book Antiqua" w:eastAsia="Arial" w:hAnsi="Book Antiqua" w:cs="Arial"/>
          <w:szCs w:val="24"/>
          <w:lang w:val="es-PR"/>
        </w:rPr>
        <w:t xml:space="preserve"> </w:t>
      </w:r>
      <w:r w:rsidR="00A32ACF" w:rsidRPr="00C97665">
        <w:rPr>
          <w:rFonts w:ascii="Book Antiqua" w:eastAsia="Arial" w:hAnsi="Book Antiqua" w:cs="Arial"/>
          <w:szCs w:val="24"/>
          <w:lang w:val="es-PR"/>
        </w:rPr>
        <w:t>3</w:t>
      </w:r>
      <w:r w:rsidR="00FF3F56" w:rsidRPr="00C97665">
        <w:rPr>
          <w:rFonts w:ascii="Book Antiqua" w:eastAsia="Arial" w:hAnsi="Book Antiqua" w:cs="Arial"/>
          <w:szCs w:val="24"/>
          <w:lang w:val="es-PR"/>
        </w:rPr>
        <w:t>.-</w:t>
      </w:r>
      <w:r w:rsidR="00616102" w:rsidRPr="00C97665">
        <w:rPr>
          <w:rFonts w:ascii="Book Antiqua" w:eastAsia="Arial" w:hAnsi="Book Antiqua" w:cs="Arial"/>
          <w:szCs w:val="24"/>
          <w:lang w:val="es-PR"/>
        </w:rPr>
        <w:t>Esta Ley tendrá vigencia al momento de su aprobación.</w:t>
      </w:r>
    </w:p>
    <w:sectPr w:rsidR="00616102" w:rsidSect="00E50CD6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5975" w14:textId="77777777" w:rsidR="00EE2602" w:rsidRDefault="00EE2602">
      <w:r>
        <w:separator/>
      </w:r>
    </w:p>
  </w:endnote>
  <w:endnote w:type="continuationSeparator" w:id="0">
    <w:p w14:paraId="3F281A2F" w14:textId="77777777" w:rsidR="00EE2602" w:rsidRDefault="00EE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C37B" w14:textId="77777777" w:rsidR="00EE2602" w:rsidRDefault="00EE2602">
      <w:r>
        <w:separator/>
      </w:r>
    </w:p>
  </w:footnote>
  <w:footnote w:type="continuationSeparator" w:id="0">
    <w:p w14:paraId="3FB034CA" w14:textId="77777777" w:rsidR="00EE2602" w:rsidRDefault="00EE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F192" w14:textId="77777777" w:rsidR="00F042CB" w:rsidRDefault="00F042CB">
    <w:pPr>
      <w:pStyle w:val="Encabezado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F56DE">
      <w:rPr>
        <w:rStyle w:val="Nmerodepgina"/>
        <w:noProof/>
      </w:rPr>
      <w:t>3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B20A3"/>
    <w:multiLevelType w:val="hybridMultilevel"/>
    <w:tmpl w:val="5AFE4DE8"/>
    <w:lvl w:ilvl="0" w:tplc="0F1CE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00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E50CD6"/>
    <w:rsid w:val="00020BBB"/>
    <w:rsid w:val="00056024"/>
    <w:rsid w:val="00095AE1"/>
    <w:rsid w:val="000A6B6C"/>
    <w:rsid w:val="000B0DBB"/>
    <w:rsid w:val="000D70CD"/>
    <w:rsid w:val="00111E71"/>
    <w:rsid w:val="00127C6A"/>
    <w:rsid w:val="001363FE"/>
    <w:rsid w:val="00162588"/>
    <w:rsid w:val="0017132B"/>
    <w:rsid w:val="001C3625"/>
    <w:rsid w:val="001D3F1C"/>
    <w:rsid w:val="001F4CA3"/>
    <w:rsid w:val="001F612A"/>
    <w:rsid w:val="00211396"/>
    <w:rsid w:val="00226AE6"/>
    <w:rsid w:val="00245994"/>
    <w:rsid w:val="00245B34"/>
    <w:rsid w:val="002551D5"/>
    <w:rsid w:val="00263355"/>
    <w:rsid w:val="00273792"/>
    <w:rsid w:val="002D4AC8"/>
    <w:rsid w:val="002E37BC"/>
    <w:rsid w:val="00320D78"/>
    <w:rsid w:val="00380FE5"/>
    <w:rsid w:val="003924DD"/>
    <w:rsid w:val="00394FCB"/>
    <w:rsid w:val="003963F4"/>
    <w:rsid w:val="003B5254"/>
    <w:rsid w:val="003B75A6"/>
    <w:rsid w:val="003F56DE"/>
    <w:rsid w:val="0040032A"/>
    <w:rsid w:val="004061CA"/>
    <w:rsid w:val="00415689"/>
    <w:rsid w:val="004440CB"/>
    <w:rsid w:val="004713D2"/>
    <w:rsid w:val="00521639"/>
    <w:rsid w:val="00532BB7"/>
    <w:rsid w:val="005332E4"/>
    <w:rsid w:val="0053550C"/>
    <w:rsid w:val="00555018"/>
    <w:rsid w:val="005723DC"/>
    <w:rsid w:val="005D3CBC"/>
    <w:rsid w:val="005F45E5"/>
    <w:rsid w:val="00616102"/>
    <w:rsid w:val="006210DC"/>
    <w:rsid w:val="0064349D"/>
    <w:rsid w:val="00685549"/>
    <w:rsid w:val="006A1CA1"/>
    <w:rsid w:val="006B7365"/>
    <w:rsid w:val="006C2D81"/>
    <w:rsid w:val="006C7DF8"/>
    <w:rsid w:val="00750FC8"/>
    <w:rsid w:val="007533D0"/>
    <w:rsid w:val="00755069"/>
    <w:rsid w:val="007847F6"/>
    <w:rsid w:val="007963EF"/>
    <w:rsid w:val="007A35C9"/>
    <w:rsid w:val="007B0660"/>
    <w:rsid w:val="007B229E"/>
    <w:rsid w:val="007C2ACF"/>
    <w:rsid w:val="007E3868"/>
    <w:rsid w:val="00820C41"/>
    <w:rsid w:val="008439D2"/>
    <w:rsid w:val="00850256"/>
    <w:rsid w:val="008F649B"/>
    <w:rsid w:val="0093686F"/>
    <w:rsid w:val="00942FD4"/>
    <w:rsid w:val="00951997"/>
    <w:rsid w:val="00990352"/>
    <w:rsid w:val="00A03405"/>
    <w:rsid w:val="00A1528A"/>
    <w:rsid w:val="00A26637"/>
    <w:rsid w:val="00A32ACF"/>
    <w:rsid w:val="00A33918"/>
    <w:rsid w:val="00A52703"/>
    <w:rsid w:val="00A7629F"/>
    <w:rsid w:val="00AF0CEE"/>
    <w:rsid w:val="00B41F95"/>
    <w:rsid w:val="00B667AD"/>
    <w:rsid w:val="00B84C38"/>
    <w:rsid w:val="00B86C00"/>
    <w:rsid w:val="00B909D1"/>
    <w:rsid w:val="00B947F6"/>
    <w:rsid w:val="00BF16AA"/>
    <w:rsid w:val="00C30F73"/>
    <w:rsid w:val="00C354B8"/>
    <w:rsid w:val="00C45768"/>
    <w:rsid w:val="00C52517"/>
    <w:rsid w:val="00C60921"/>
    <w:rsid w:val="00C62936"/>
    <w:rsid w:val="00C653F2"/>
    <w:rsid w:val="00C679E6"/>
    <w:rsid w:val="00C908F9"/>
    <w:rsid w:val="00C97665"/>
    <w:rsid w:val="00CA0917"/>
    <w:rsid w:val="00CA1099"/>
    <w:rsid w:val="00CA7635"/>
    <w:rsid w:val="00D40902"/>
    <w:rsid w:val="00D417C2"/>
    <w:rsid w:val="00D60936"/>
    <w:rsid w:val="00D709EB"/>
    <w:rsid w:val="00D74714"/>
    <w:rsid w:val="00D770E3"/>
    <w:rsid w:val="00D82F3F"/>
    <w:rsid w:val="00D921C6"/>
    <w:rsid w:val="00D958C2"/>
    <w:rsid w:val="00E04AB5"/>
    <w:rsid w:val="00E50CD6"/>
    <w:rsid w:val="00E50EEA"/>
    <w:rsid w:val="00E52F58"/>
    <w:rsid w:val="00EC26AA"/>
    <w:rsid w:val="00ED7A53"/>
    <w:rsid w:val="00EE2602"/>
    <w:rsid w:val="00EE4273"/>
    <w:rsid w:val="00EE4744"/>
    <w:rsid w:val="00F02004"/>
    <w:rsid w:val="00F042CB"/>
    <w:rsid w:val="00F43883"/>
    <w:rsid w:val="00FC0A95"/>
    <w:rsid w:val="00FC3D9C"/>
    <w:rsid w:val="00FF0153"/>
    <w:rsid w:val="00FF3F56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5EE34"/>
  <w15:chartTrackingRefBased/>
  <w15:docId w15:val="{563D8EBB-F0A0-4011-B5F2-DB214C6E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616102"/>
    <w:pPr>
      <w:ind w:left="720"/>
      <w:contextualSpacing/>
    </w:pPr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5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Froilan Cruz Soto</dc:creator>
  <cp:keywords/>
  <cp:lastModifiedBy>Juan C. Marrero Velázquez</cp:lastModifiedBy>
  <cp:revision>5</cp:revision>
  <cp:lastPrinted>2022-06-13T18:09:00Z</cp:lastPrinted>
  <dcterms:created xsi:type="dcterms:W3CDTF">2022-06-03T13:46:00Z</dcterms:created>
  <dcterms:modified xsi:type="dcterms:W3CDTF">2022-06-13T18:09:00Z</dcterms:modified>
</cp:coreProperties>
</file>