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B7C3" w14:textId="218277A8" w:rsidR="00FF6BD2" w:rsidRDefault="00975CF1" w:rsidP="006C2845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C2845">
        <w:rPr>
          <w:rFonts w:ascii="Book Antiqua" w:hAnsi="Book Antiqua"/>
          <w:sz w:val="28"/>
          <w:lang w:val="es-ES_tradnl"/>
        </w:rPr>
        <w:t>ESTADO LIBRE ASOCIADO DE PUERTO RICO</w:t>
      </w:r>
    </w:p>
    <w:p w14:paraId="3738590A" w14:textId="07BCA57C" w:rsidR="006C2845" w:rsidRDefault="006C2845" w:rsidP="006C2845">
      <w:pPr>
        <w:jc w:val="center"/>
        <w:rPr>
          <w:rFonts w:ascii="Book Antiqua" w:hAnsi="Book Antiqua"/>
          <w:sz w:val="28"/>
          <w:lang w:val="es-ES_tradnl"/>
        </w:rPr>
      </w:pPr>
    </w:p>
    <w:p w14:paraId="6B253925" w14:textId="11B4C642" w:rsidR="006C2845" w:rsidRDefault="006C2845" w:rsidP="006C2845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proofErr w:type="spellStart"/>
      <w:r>
        <w:rPr>
          <w:rFonts w:ascii="Book Antiqua" w:hAnsi="Book Antiqua"/>
          <w:vertAlign w:val="superscript"/>
          <w:lang w:val="es-ES_tradnl"/>
        </w:rPr>
        <w:t>na</w:t>
      </w:r>
      <w:proofErr w:type="spellEnd"/>
      <w:r>
        <w:rPr>
          <w:rFonts w:ascii="Book Antiqua" w:hAnsi="Book Antiqua"/>
          <w:vertAlign w:val="superscript"/>
          <w:lang w:val="es-ES_tradnl"/>
        </w:rPr>
        <w:t>.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</w:r>
      <w:r w:rsidR="00F80D00">
        <w:rPr>
          <w:rFonts w:ascii="Book Antiqua" w:hAnsi="Book Antiqua"/>
          <w:lang w:val="es-ES_tradnl"/>
        </w:rPr>
        <w:t>5</w:t>
      </w:r>
      <w:r>
        <w:rPr>
          <w:rFonts w:ascii="Book Antiqua" w:hAnsi="Book Antiqua"/>
          <w:lang w:val="es-ES_tradnl"/>
        </w:rPr>
        <w:t xml:space="preserve"> </w:t>
      </w:r>
      <w:proofErr w:type="spellStart"/>
      <w:r w:rsidR="00F80D00">
        <w:rPr>
          <w:rFonts w:ascii="Book Antiqua" w:hAnsi="Book Antiqua"/>
          <w:vertAlign w:val="superscript"/>
          <w:lang w:val="es-ES_tradnl"/>
        </w:rPr>
        <w:t>t</w:t>
      </w:r>
      <w:r>
        <w:rPr>
          <w:rFonts w:ascii="Book Antiqua" w:hAnsi="Book Antiqua"/>
          <w:vertAlign w:val="superscript"/>
          <w:lang w:val="es-ES_tradnl"/>
        </w:rPr>
        <w:t>a</w:t>
      </w:r>
      <w:proofErr w:type="spellEnd"/>
      <w:r>
        <w:rPr>
          <w:rFonts w:ascii="Book Antiqua" w:hAnsi="Book Antiqua"/>
          <w:vertAlign w:val="superscript"/>
          <w:lang w:val="es-ES_tradnl"/>
        </w:rPr>
        <w:t>.</w:t>
      </w:r>
      <w:r>
        <w:rPr>
          <w:rFonts w:ascii="Book Antiqua" w:hAnsi="Book Antiqua"/>
          <w:lang w:val="es-ES_tradnl"/>
        </w:rPr>
        <w:tab/>
        <w:t>Sesión</w:t>
      </w:r>
    </w:p>
    <w:p w14:paraId="73D744DC" w14:textId="6A6E3DB6" w:rsidR="006C2845" w:rsidRDefault="006C2845" w:rsidP="006C2845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14:paraId="22426B5A" w14:textId="691D1550" w:rsidR="006C2845" w:rsidRDefault="006C2845" w:rsidP="006C2845">
      <w:pPr>
        <w:rPr>
          <w:lang w:val="es-ES_tradnl"/>
        </w:rPr>
      </w:pPr>
    </w:p>
    <w:p w14:paraId="1BC7920E" w14:textId="374E9816" w:rsidR="006C2845" w:rsidRDefault="006C2845" w:rsidP="006C2845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5D2D61E0" w14:textId="3110BF12" w:rsidR="006C2845" w:rsidRDefault="006C2845" w:rsidP="006C2845">
      <w:pPr>
        <w:jc w:val="center"/>
        <w:rPr>
          <w:rFonts w:ascii="Book Antiqua" w:hAnsi="Book Antiqua"/>
          <w:b/>
          <w:sz w:val="36"/>
          <w:lang w:val="es-ES_tradnl"/>
        </w:rPr>
      </w:pPr>
    </w:p>
    <w:p w14:paraId="6A7ED035" w14:textId="207B1E6B" w:rsidR="006C2845" w:rsidRDefault="006C2845" w:rsidP="006C2845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B26610">
        <w:rPr>
          <w:rFonts w:ascii="Book Antiqua" w:hAnsi="Book Antiqua"/>
          <w:b/>
          <w:sz w:val="52"/>
          <w:lang w:val="es-ES_tradnl"/>
        </w:rPr>
        <w:t>1165</w:t>
      </w:r>
    </w:p>
    <w:p w14:paraId="129C5C26" w14:textId="1387CA64" w:rsidR="006C2845" w:rsidRDefault="006C2845" w:rsidP="006C2845">
      <w:pPr>
        <w:jc w:val="center"/>
        <w:rPr>
          <w:rFonts w:ascii="Book Antiqua" w:hAnsi="Book Antiqua"/>
          <w:b/>
          <w:sz w:val="52"/>
          <w:lang w:val="es-ES_tradnl"/>
        </w:rPr>
      </w:pPr>
    </w:p>
    <w:p w14:paraId="5B6C14BA" w14:textId="18BD84C2" w:rsidR="006C2845" w:rsidRDefault="006C2845" w:rsidP="006C2845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 xml:space="preserve">INFORME </w:t>
      </w:r>
      <w:r w:rsidR="00B26610">
        <w:rPr>
          <w:rFonts w:ascii="Book Antiqua" w:hAnsi="Book Antiqua"/>
          <w:b/>
          <w:sz w:val="28"/>
          <w:lang w:val="es-ES_tradnl"/>
        </w:rPr>
        <w:t>NEGATIVO</w:t>
      </w:r>
    </w:p>
    <w:p w14:paraId="629CBC88" w14:textId="31F98946" w:rsidR="006C2845" w:rsidRDefault="006C2845" w:rsidP="006C2845">
      <w:pPr>
        <w:jc w:val="center"/>
        <w:rPr>
          <w:rFonts w:ascii="Book Antiqua" w:hAnsi="Book Antiqua"/>
          <w:sz w:val="28"/>
          <w:lang w:val="es-ES_tradnl"/>
        </w:rPr>
      </w:pPr>
    </w:p>
    <w:p w14:paraId="4D140112" w14:textId="5173D150" w:rsidR="006C2845" w:rsidRDefault="00AA0522" w:rsidP="006C2845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 de febrero</w:t>
      </w:r>
      <w:r w:rsidR="006C2845">
        <w:rPr>
          <w:rFonts w:ascii="Book Antiqua" w:hAnsi="Book Antiqua"/>
          <w:lang w:val="es-ES_tradnl"/>
        </w:rPr>
        <w:t xml:space="preserve"> de 20</w:t>
      </w:r>
      <w:r w:rsidR="00F80D00">
        <w:rPr>
          <w:rFonts w:ascii="Book Antiqua" w:hAnsi="Book Antiqua"/>
          <w:lang w:val="es-ES_tradnl"/>
        </w:rPr>
        <w:t>23</w:t>
      </w:r>
    </w:p>
    <w:p w14:paraId="6950F757" w14:textId="622DC315" w:rsidR="006C2845" w:rsidRDefault="006C2845" w:rsidP="006C2845">
      <w:pPr>
        <w:jc w:val="center"/>
        <w:rPr>
          <w:rFonts w:ascii="Book Antiqua" w:hAnsi="Book Antiqua"/>
          <w:lang w:val="es-ES_tradnl"/>
        </w:rPr>
      </w:pPr>
    </w:p>
    <w:p w14:paraId="10A1EDD9" w14:textId="2F2E62EB" w:rsidR="006C2845" w:rsidRDefault="006C2845" w:rsidP="006C2845">
      <w:pPr>
        <w:jc w:val="center"/>
        <w:rPr>
          <w:rFonts w:ascii="Book Antiqua" w:hAnsi="Book Antiqua"/>
          <w:lang w:val="es-ES_tradnl"/>
        </w:rPr>
      </w:pPr>
    </w:p>
    <w:p w14:paraId="219596FB" w14:textId="30C529CB" w:rsidR="006C2845" w:rsidRDefault="006C2845" w:rsidP="006C2845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/>
          <w:lang w:val="es-ES_tradnl"/>
        </w:rPr>
        <w:t>A LA CÁMARA DE REPRESENTANTES:</w:t>
      </w:r>
    </w:p>
    <w:p w14:paraId="4524A286" w14:textId="77777777" w:rsidR="00A8194B" w:rsidRDefault="00A8194B" w:rsidP="004E254A">
      <w:pPr>
        <w:jc w:val="both"/>
        <w:rPr>
          <w:rFonts w:ascii="Book Antiqua" w:hAnsi="Book Antiqua"/>
          <w:lang w:val="es-PR"/>
        </w:rPr>
      </w:pPr>
    </w:p>
    <w:p w14:paraId="103303F9" w14:textId="685989A7" w:rsidR="00A8194B" w:rsidRPr="00A8194B" w:rsidRDefault="00A8194B" w:rsidP="008472F9">
      <w:pPr>
        <w:ind w:firstLine="720"/>
        <w:jc w:val="both"/>
        <w:rPr>
          <w:rFonts w:ascii="Book Antiqua" w:hAnsi="Book Antiqua"/>
          <w:strike/>
          <w:lang w:val="es-ES_tradnl"/>
        </w:rPr>
      </w:pPr>
      <w:r w:rsidRPr="00E97D0C">
        <w:rPr>
          <w:rFonts w:ascii="Book Antiqua" w:hAnsi="Book Antiqua"/>
          <w:lang w:val="es-PR"/>
        </w:rPr>
        <w:t xml:space="preserve">La Comisión </w:t>
      </w:r>
      <w:r>
        <w:rPr>
          <w:rFonts w:ascii="Book Antiqua" w:hAnsi="Book Antiqua"/>
          <w:lang w:val="es-PR"/>
        </w:rPr>
        <w:t>de</w:t>
      </w:r>
      <w:r w:rsidRPr="00E97D0C">
        <w:rPr>
          <w:rFonts w:ascii="Book Antiqua" w:hAnsi="Book Antiqua"/>
          <w:lang w:val="es-PR"/>
        </w:rPr>
        <w:t xml:space="preserve"> </w:t>
      </w:r>
      <w:r>
        <w:rPr>
          <w:rFonts w:ascii="Book Antiqua" w:hAnsi="Book Antiqua"/>
          <w:lang w:val="es-PR"/>
        </w:rPr>
        <w:t>Transportación, Infraestructura y Obras Públicas</w:t>
      </w:r>
      <w:r w:rsidRPr="00E97D0C">
        <w:rPr>
          <w:rFonts w:ascii="Book Antiqua" w:hAnsi="Book Antiqua"/>
          <w:lang w:val="es-PR"/>
        </w:rPr>
        <w:t xml:space="preserve"> de la Cámara de Representantes de Puerto Rico, previo estudio y análisis, somete a este </w:t>
      </w:r>
      <w:r>
        <w:rPr>
          <w:rFonts w:ascii="Book Antiqua" w:hAnsi="Book Antiqua"/>
          <w:lang w:val="es-PR"/>
        </w:rPr>
        <w:t>Augusto</w:t>
      </w:r>
      <w:r w:rsidRPr="00E97D0C">
        <w:rPr>
          <w:rFonts w:ascii="Book Antiqua" w:hAnsi="Book Antiqua"/>
          <w:lang w:val="es-PR"/>
        </w:rPr>
        <w:t xml:space="preserve"> Cuerpo </w:t>
      </w:r>
      <w:r>
        <w:rPr>
          <w:rFonts w:ascii="Book Antiqua" w:hAnsi="Book Antiqua"/>
          <w:lang w:val="es-PR"/>
        </w:rPr>
        <w:t>el presente informe donde</w:t>
      </w:r>
      <w:r w:rsidRPr="002E34EC">
        <w:rPr>
          <w:rFonts w:ascii="Book Antiqua" w:hAnsi="Book Antiqua"/>
          <w:lang w:val="es-PR"/>
        </w:rPr>
        <w:t xml:space="preserve"> no recomienda la aprobación de</w:t>
      </w:r>
      <w:r>
        <w:rPr>
          <w:rFonts w:ascii="Book Antiqua" w:hAnsi="Book Antiqua"/>
          <w:lang w:val="es-PR"/>
        </w:rPr>
        <w:t xml:space="preserve">l </w:t>
      </w:r>
      <w:r w:rsidRPr="004A3024">
        <w:rPr>
          <w:rFonts w:ascii="Book Antiqua" w:hAnsi="Book Antiqua"/>
          <w:b/>
          <w:lang w:val="es-PR"/>
        </w:rPr>
        <w:t>Proyecto de la Cámara</w:t>
      </w:r>
      <w:r>
        <w:rPr>
          <w:rFonts w:ascii="Book Antiqua" w:hAnsi="Book Antiqua"/>
          <w:b/>
          <w:lang w:val="es-PR"/>
        </w:rPr>
        <w:t xml:space="preserve"> 1165.</w:t>
      </w:r>
    </w:p>
    <w:p w14:paraId="35D7A096" w14:textId="77777777" w:rsidR="008472F9" w:rsidRDefault="008472F9" w:rsidP="008472F9">
      <w:pPr>
        <w:jc w:val="both"/>
        <w:rPr>
          <w:rFonts w:ascii="Book Antiqua" w:hAnsi="Book Antiqua"/>
          <w:lang w:val="es-ES_tradnl"/>
        </w:rPr>
      </w:pPr>
    </w:p>
    <w:p w14:paraId="2C3859CF" w14:textId="77777777" w:rsidR="008472F9" w:rsidRDefault="008472F9" w:rsidP="008472F9">
      <w:pPr>
        <w:jc w:val="center"/>
        <w:rPr>
          <w:rFonts w:ascii="Book Antiqua" w:hAnsi="Book Antiqua"/>
          <w:b/>
          <w:lang w:val="es-ES_tradnl"/>
        </w:rPr>
      </w:pPr>
      <w:r w:rsidRPr="00C460B8">
        <w:rPr>
          <w:rFonts w:ascii="Book Antiqua" w:hAnsi="Book Antiqua"/>
          <w:b/>
          <w:lang w:val="es-ES_tradnl"/>
        </w:rPr>
        <w:t>ALCANCE DE LA MEDIDA</w:t>
      </w:r>
    </w:p>
    <w:p w14:paraId="08DA2056" w14:textId="77777777" w:rsidR="008472F9" w:rsidRDefault="008472F9" w:rsidP="008472F9">
      <w:pPr>
        <w:jc w:val="both"/>
        <w:rPr>
          <w:rFonts w:ascii="Book Antiqua" w:hAnsi="Book Antiqua"/>
          <w:b/>
          <w:lang w:val="es-ES_tradnl"/>
        </w:rPr>
      </w:pPr>
    </w:p>
    <w:p w14:paraId="1AF3058F" w14:textId="4C2BC961" w:rsidR="006C2845" w:rsidRDefault="008472F9" w:rsidP="00F80D00">
      <w:pPr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lang w:val="es-ES_tradnl"/>
        </w:rPr>
        <w:t xml:space="preserve">El Proyecto de la Cámara </w:t>
      </w:r>
      <w:r w:rsidR="00F80D00">
        <w:rPr>
          <w:rFonts w:ascii="Book Antiqua" w:hAnsi="Book Antiqua"/>
          <w:lang w:val="es-ES_tradnl"/>
        </w:rPr>
        <w:t>1</w:t>
      </w:r>
      <w:r w:rsidR="00B26610">
        <w:rPr>
          <w:rFonts w:ascii="Book Antiqua" w:hAnsi="Book Antiqua"/>
          <w:lang w:val="es-ES_tradnl"/>
        </w:rPr>
        <w:t>165</w:t>
      </w:r>
      <w:r>
        <w:rPr>
          <w:rFonts w:ascii="Book Antiqua" w:hAnsi="Book Antiqua"/>
          <w:lang w:val="es-ES_tradnl"/>
        </w:rPr>
        <w:t xml:space="preserve"> </w:t>
      </w:r>
      <w:r w:rsidR="00ED5793">
        <w:rPr>
          <w:rFonts w:ascii="Book Antiqua" w:hAnsi="Book Antiqua"/>
          <w:lang w:val="es-ES_tradnl"/>
        </w:rPr>
        <w:t xml:space="preserve">propone </w:t>
      </w:r>
      <w:r w:rsidR="00E6712C" w:rsidRPr="00E6712C">
        <w:rPr>
          <w:rFonts w:ascii="Book Antiqua" w:hAnsi="Book Antiqua"/>
          <w:lang w:val="es-ES_tradnl"/>
        </w:rPr>
        <w:t xml:space="preserve">enmendar el Artículo 6.25 </w:t>
      </w:r>
      <w:r w:rsidR="00692C11">
        <w:rPr>
          <w:rFonts w:ascii="Book Antiqua" w:hAnsi="Book Antiqua"/>
          <w:lang w:val="es-ES_tradnl"/>
        </w:rPr>
        <w:t xml:space="preserve">de </w:t>
      </w:r>
      <w:r w:rsidR="00E6712C" w:rsidRPr="00E6712C">
        <w:rPr>
          <w:rFonts w:ascii="Book Antiqua" w:hAnsi="Book Antiqua"/>
          <w:lang w:val="es-ES_tradnl"/>
        </w:rPr>
        <w:t>la Ley Número 22 de 7 de enero de 2000, según enmendada, conocida como “Ley de Vehículos y Tránsito de Puerto Rico”, a los fines de establecer como requisito que en los centros comerciales se reserve estacionamiento para vehículos oficiales de agentes del orden público; personal de respuesta de emergencia; y para otros fines relacionados.</w:t>
      </w:r>
    </w:p>
    <w:p w14:paraId="3F3B0C78" w14:textId="575A2BF6" w:rsidR="0040714D" w:rsidRDefault="0040714D" w:rsidP="009505D6">
      <w:pPr>
        <w:rPr>
          <w:rFonts w:ascii="Book Antiqua" w:hAnsi="Book Antiqua"/>
          <w:b/>
          <w:bCs/>
          <w:lang w:val="es-PR"/>
        </w:rPr>
      </w:pPr>
    </w:p>
    <w:p w14:paraId="383ADAD6" w14:textId="49B3EC96" w:rsidR="00BC1B76" w:rsidRDefault="00AF3841" w:rsidP="00E6712C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Conforme expresa el </w:t>
      </w:r>
      <w:r w:rsidR="0040714D">
        <w:rPr>
          <w:rFonts w:ascii="Book Antiqua" w:hAnsi="Book Antiqua"/>
          <w:lang w:val="es-ES_tradnl"/>
        </w:rPr>
        <w:t xml:space="preserve">P. de la C. </w:t>
      </w:r>
      <w:r w:rsidR="00F80D00">
        <w:rPr>
          <w:rFonts w:ascii="Book Antiqua" w:hAnsi="Book Antiqua"/>
          <w:lang w:val="es-ES_tradnl"/>
        </w:rPr>
        <w:t>1</w:t>
      </w:r>
      <w:r w:rsidR="00E6712C">
        <w:rPr>
          <w:rFonts w:ascii="Book Antiqua" w:hAnsi="Book Antiqua"/>
          <w:lang w:val="es-ES_tradnl"/>
        </w:rPr>
        <w:t>165, a diario la policía acude a los diferentes centros</w:t>
      </w:r>
      <w:r w:rsidR="009B5523">
        <w:rPr>
          <w:rFonts w:ascii="Book Antiqua" w:hAnsi="Book Antiqua"/>
          <w:lang w:val="es-ES_tradnl"/>
        </w:rPr>
        <w:t xml:space="preserve"> comerciales </w:t>
      </w:r>
      <w:r w:rsidR="009A447C">
        <w:rPr>
          <w:rFonts w:ascii="Book Antiqua" w:hAnsi="Book Antiqua"/>
          <w:lang w:val="es-ES_tradnl"/>
        </w:rPr>
        <w:t xml:space="preserve">para atender incidentes que ocurren en </w:t>
      </w:r>
      <w:r w:rsidR="003913A0">
        <w:rPr>
          <w:rFonts w:ascii="Book Antiqua" w:hAnsi="Book Antiqua"/>
          <w:lang w:val="es-ES_tradnl"/>
        </w:rPr>
        <w:t>su</w:t>
      </w:r>
      <w:r w:rsidR="009A447C">
        <w:rPr>
          <w:rFonts w:ascii="Book Antiqua" w:hAnsi="Book Antiqua"/>
          <w:lang w:val="es-ES_tradnl"/>
        </w:rPr>
        <w:t xml:space="preserve"> interior y algunos que ocurren en el estacionamiento de est</w:t>
      </w:r>
      <w:r w:rsidR="00692C11">
        <w:rPr>
          <w:rFonts w:ascii="Book Antiqua" w:hAnsi="Book Antiqua"/>
          <w:lang w:val="es-ES_tradnl"/>
        </w:rPr>
        <w:t>os</w:t>
      </w:r>
      <w:r w:rsidR="009A447C">
        <w:rPr>
          <w:rFonts w:ascii="Book Antiqua" w:hAnsi="Book Antiqua"/>
          <w:lang w:val="es-ES_tradnl"/>
        </w:rPr>
        <w:t xml:space="preserve">; en otras ocasiones se detienen durante horas laborales para consumir alimentos o utilizar los servicios sanitarios del establecimiento. Las áreas utilizadas por los agentes para estacionar los vehículos </w:t>
      </w:r>
      <w:r w:rsidR="003913A0">
        <w:rPr>
          <w:rFonts w:ascii="Book Antiqua" w:hAnsi="Book Antiqua"/>
          <w:lang w:val="es-ES_tradnl"/>
        </w:rPr>
        <w:t>en la actualidad</w:t>
      </w:r>
      <w:r w:rsidR="009A447C">
        <w:rPr>
          <w:rFonts w:ascii="Book Antiqua" w:hAnsi="Book Antiqua"/>
          <w:lang w:val="es-ES_tradnl"/>
        </w:rPr>
        <w:t xml:space="preserve"> son el medio de la calle o la línea de fuego</w:t>
      </w:r>
      <w:r w:rsidR="009B5523">
        <w:rPr>
          <w:rFonts w:ascii="Book Antiqua" w:hAnsi="Book Antiqua"/>
          <w:lang w:val="es-ES_tradnl"/>
        </w:rPr>
        <w:t xml:space="preserve"> (</w:t>
      </w:r>
      <w:proofErr w:type="spellStart"/>
      <w:r w:rsidR="009B5523" w:rsidRPr="009B5523">
        <w:rPr>
          <w:rFonts w:ascii="Book Antiqua" w:hAnsi="Book Antiqua"/>
          <w:i/>
          <w:iCs/>
          <w:lang w:val="es-ES_tradnl"/>
        </w:rPr>
        <w:t>fire</w:t>
      </w:r>
      <w:proofErr w:type="spellEnd"/>
      <w:r w:rsidR="009B5523" w:rsidRPr="009B5523">
        <w:rPr>
          <w:rFonts w:ascii="Book Antiqua" w:hAnsi="Book Antiqua"/>
          <w:i/>
          <w:iCs/>
          <w:lang w:val="es-ES_tradnl"/>
        </w:rPr>
        <w:t xml:space="preserve"> </w:t>
      </w:r>
      <w:proofErr w:type="spellStart"/>
      <w:r w:rsidR="009B5523" w:rsidRPr="009B5523">
        <w:rPr>
          <w:rFonts w:ascii="Book Antiqua" w:hAnsi="Book Antiqua"/>
          <w:i/>
          <w:iCs/>
          <w:lang w:val="es-ES_tradnl"/>
        </w:rPr>
        <w:t>lane</w:t>
      </w:r>
      <w:proofErr w:type="spellEnd"/>
      <w:r w:rsidR="009B5523">
        <w:rPr>
          <w:rFonts w:ascii="Book Antiqua" w:hAnsi="Book Antiqua"/>
          <w:lang w:val="es-ES_tradnl"/>
        </w:rPr>
        <w:t>)</w:t>
      </w:r>
      <w:r w:rsidR="009A447C">
        <w:rPr>
          <w:rFonts w:ascii="Book Antiqua" w:hAnsi="Book Antiqua"/>
          <w:lang w:val="es-ES_tradnl"/>
        </w:rPr>
        <w:t xml:space="preserve"> asignada para emergencias relacionadas </w:t>
      </w:r>
      <w:r w:rsidR="009B5523">
        <w:rPr>
          <w:rFonts w:ascii="Book Antiqua" w:hAnsi="Book Antiqua"/>
          <w:lang w:val="es-ES_tradnl"/>
        </w:rPr>
        <w:t>con el Negociado</w:t>
      </w:r>
      <w:r w:rsidR="009A447C">
        <w:rPr>
          <w:rFonts w:ascii="Book Antiqua" w:hAnsi="Book Antiqua"/>
          <w:lang w:val="es-ES_tradnl"/>
        </w:rPr>
        <w:t xml:space="preserve"> de Bomberos. </w:t>
      </w:r>
    </w:p>
    <w:p w14:paraId="73F07605" w14:textId="77777777" w:rsidR="009B5523" w:rsidRDefault="009B5523" w:rsidP="009B5523">
      <w:pPr>
        <w:rPr>
          <w:rFonts w:ascii="Book Antiqua" w:hAnsi="Book Antiqua"/>
          <w:lang w:val="es-ES_tradnl"/>
        </w:rPr>
      </w:pPr>
    </w:p>
    <w:p w14:paraId="1FB0FDFA" w14:textId="7D55FF02" w:rsidR="009B5523" w:rsidRDefault="009B5523" w:rsidP="003913A0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ab/>
        <w:t xml:space="preserve">Esta Ley busca reservar un espacio de estacionamiento en cada centro comercial para uso exclusivo de los oficiales del orden público, cuando se encuentren realizando gestiones oficiales. La misma persigue </w:t>
      </w:r>
      <w:r w:rsidR="003913A0">
        <w:rPr>
          <w:rFonts w:ascii="Book Antiqua" w:hAnsi="Book Antiqua"/>
          <w:lang w:val="es-ES_tradnl"/>
        </w:rPr>
        <w:t xml:space="preserve">también proteger los equipos de seguridad, biombos, computadoras, radares y sirenas, debido a la problemática que tienen algunas de las patrullas con el cierre de las puertas. </w:t>
      </w:r>
    </w:p>
    <w:p w14:paraId="4D17F332" w14:textId="2AD9932B" w:rsidR="004110BF" w:rsidRDefault="004110BF" w:rsidP="00A41E7B">
      <w:pPr>
        <w:ind w:firstLine="720"/>
        <w:jc w:val="both"/>
        <w:rPr>
          <w:rFonts w:ascii="Book Antiqua" w:hAnsi="Book Antiqua"/>
          <w:lang w:val="es-ES_tradnl"/>
        </w:rPr>
      </w:pPr>
    </w:p>
    <w:p w14:paraId="20471725" w14:textId="6D3FA053" w:rsidR="004110BF" w:rsidRPr="00C700A5" w:rsidRDefault="004E254A" w:rsidP="004E254A">
      <w:pPr>
        <w:ind w:left="1080"/>
        <w:jc w:val="center"/>
        <w:rPr>
          <w:rFonts w:ascii="Book Antiqua" w:hAnsi="Book Antiqua"/>
          <w:b/>
          <w:bCs/>
          <w:lang w:val="es-PR"/>
        </w:rPr>
      </w:pPr>
      <w:r>
        <w:rPr>
          <w:rFonts w:ascii="Book Antiqua" w:hAnsi="Book Antiqua"/>
          <w:b/>
          <w:bCs/>
          <w:lang w:val="es-PR"/>
        </w:rPr>
        <w:t>ANÁLISIS DE LA MEDIDA</w:t>
      </w:r>
    </w:p>
    <w:p w14:paraId="79A4BCAE" w14:textId="77777777" w:rsidR="00C700A5" w:rsidRDefault="00C700A5" w:rsidP="00C700A5">
      <w:pPr>
        <w:ind w:left="1080"/>
        <w:jc w:val="both"/>
        <w:rPr>
          <w:rFonts w:ascii="Book Antiqua" w:hAnsi="Book Antiqua"/>
          <w:lang w:val="es-PR"/>
        </w:rPr>
      </w:pPr>
    </w:p>
    <w:p w14:paraId="7A5A09D0" w14:textId="1D14CB2B" w:rsidR="00C757E6" w:rsidRDefault="004110BF" w:rsidP="003913A0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Para la evaluación y análisis del P. de la C. </w:t>
      </w:r>
      <w:r w:rsidR="00BB0260">
        <w:rPr>
          <w:rFonts w:ascii="Book Antiqua" w:hAnsi="Book Antiqua"/>
          <w:lang w:val="es-PR"/>
        </w:rPr>
        <w:t>1</w:t>
      </w:r>
      <w:r w:rsidR="003913A0">
        <w:rPr>
          <w:rFonts w:ascii="Book Antiqua" w:hAnsi="Book Antiqua"/>
          <w:lang w:val="es-PR"/>
        </w:rPr>
        <w:t>165</w:t>
      </w:r>
      <w:r>
        <w:rPr>
          <w:rFonts w:ascii="Book Antiqua" w:hAnsi="Book Antiqua"/>
          <w:lang w:val="es-PR"/>
        </w:rPr>
        <w:t xml:space="preserve"> la Comisión de Transportación, Infraestructura y Obras Públicas solicitó</w:t>
      </w:r>
      <w:r w:rsidR="003913A0">
        <w:rPr>
          <w:rFonts w:ascii="Book Antiqua" w:hAnsi="Book Antiqua"/>
          <w:lang w:val="es-PR"/>
        </w:rPr>
        <w:t xml:space="preserve"> su</w:t>
      </w:r>
      <w:r>
        <w:rPr>
          <w:rFonts w:ascii="Book Antiqua" w:hAnsi="Book Antiqua"/>
          <w:lang w:val="es-PR"/>
        </w:rPr>
        <w:t xml:space="preserve"> </w:t>
      </w:r>
      <w:r w:rsidR="003913A0">
        <w:rPr>
          <w:rFonts w:ascii="Book Antiqua" w:hAnsi="Book Antiqua"/>
          <w:lang w:val="es-PR"/>
        </w:rPr>
        <w:t>opinión a la Asociación de Centros Comerciales Puertorriqueños quienes no endosan la medida. En su memorial explicativo expresaron:</w:t>
      </w:r>
    </w:p>
    <w:p w14:paraId="41C2FABA" w14:textId="77777777" w:rsidR="009439F9" w:rsidRDefault="009439F9" w:rsidP="003913A0">
      <w:pPr>
        <w:ind w:firstLine="720"/>
        <w:jc w:val="both"/>
        <w:rPr>
          <w:rFonts w:ascii="Book Antiqua" w:hAnsi="Book Antiqua"/>
          <w:lang w:val="es-PR"/>
        </w:rPr>
      </w:pPr>
    </w:p>
    <w:p w14:paraId="665C8341" w14:textId="359F0EE8" w:rsidR="003913A0" w:rsidRPr="009439F9" w:rsidRDefault="003913A0" w:rsidP="003913A0">
      <w:pPr>
        <w:ind w:firstLine="720"/>
        <w:jc w:val="both"/>
        <w:rPr>
          <w:rFonts w:ascii="Book Antiqua" w:hAnsi="Book Antiqua"/>
          <w:b/>
          <w:bCs/>
          <w:lang w:val="es-PR"/>
        </w:rPr>
      </w:pPr>
      <w:r>
        <w:rPr>
          <w:rFonts w:ascii="Book Antiqua" w:hAnsi="Book Antiqua"/>
          <w:lang w:val="es-PR"/>
        </w:rPr>
        <w:t>“</w:t>
      </w:r>
      <w:r w:rsidRPr="009439F9">
        <w:rPr>
          <w:rFonts w:ascii="Book Antiqua" w:hAnsi="Book Antiqua"/>
          <w:b/>
          <w:bCs/>
          <w:lang w:val="es-PR"/>
        </w:rPr>
        <w:t xml:space="preserve">Por los fundamentos aquí expresados, la Asociación de Centros Comerciales Puertorriqueños </w:t>
      </w:r>
      <w:r w:rsidR="003E1C3F" w:rsidRPr="009439F9">
        <w:rPr>
          <w:rFonts w:ascii="Book Antiqua" w:hAnsi="Book Antiqua"/>
          <w:b/>
          <w:bCs/>
          <w:lang w:val="es-PR"/>
        </w:rPr>
        <w:t>no endosa la aprobación del P. de la C. 1165.</w:t>
      </w:r>
    </w:p>
    <w:p w14:paraId="320B9C5F" w14:textId="027AA3EF" w:rsidR="003E1C3F" w:rsidRPr="009439F9" w:rsidRDefault="003E1C3F" w:rsidP="003913A0">
      <w:pPr>
        <w:ind w:firstLine="720"/>
        <w:jc w:val="both"/>
        <w:rPr>
          <w:rFonts w:ascii="Book Antiqua" w:hAnsi="Book Antiqua"/>
          <w:b/>
          <w:bCs/>
          <w:lang w:val="es-PR"/>
        </w:rPr>
      </w:pPr>
    </w:p>
    <w:p w14:paraId="35EFBCE0" w14:textId="0C00B6F9" w:rsidR="003E1C3F" w:rsidRPr="009439F9" w:rsidRDefault="003E1C3F" w:rsidP="003913A0">
      <w:pPr>
        <w:ind w:firstLine="720"/>
        <w:jc w:val="both"/>
        <w:rPr>
          <w:rFonts w:ascii="Book Antiqua" w:hAnsi="Book Antiqua"/>
          <w:b/>
          <w:bCs/>
          <w:lang w:val="es-PR"/>
        </w:rPr>
      </w:pPr>
      <w:r w:rsidRPr="009439F9">
        <w:rPr>
          <w:rFonts w:ascii="Book Antiqua" w:hAnsi="Book Antiqua"/>
          <w:b/>
          <w:bCs/>
          <w:lang w:val="es-PR"/>
        </w:rPr>
        <w:t xml:space="preserve">Tal como hemos expresado, con motivo de otras medidas legislativas similares, es nuestra posición que el gobierno no debe extender tan ampliamente el control o regulación sobre el uso de propiedad privada para estos fines. </w:t>
      </w:r>
    </w:p>
    <w:p w14:paraId="1278290E" w14:textId="26CBB336" w:rsidR="003E1C3F" w:rsidRDefault="003E1C3F" w:rsidP="003913A0">
      <w:pPr>
        <w:ind w:firstLine="720"/>
        <w:jc w:val="both"/>
        <w:rPr>
          <w:rFonts w:ascii="Book Antiqua" w:hAnsi="Book Antiqua"/>
          <w:lang w:val="es-PR"/>
        </w:rPr>
      </w:pPr>
    </w:p>
    <w:p w14:paraId="5640D0BD" w14:textId="252BEBED" w:rsidR="003E1C3F" w:rsidRDefault="003E1C3F" w:rsidP="003E1C3F">
      <w:pPr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…</w:t>
      </w:r>
    </w:p>
    <w:p w14:paraId="607689D5" w14:textId="741405E5" w:rsidR="003E1C3F" w:rsidRDefault="003E1C3F" w:rsidP="003E1C3F">
      <w:pPr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ab/>
        <w:t>Al mismo tiempo, esta medida, junto a otras bajo consideración, tienen el efecto o consecuencia perjudicial de establecer precedentes para que otros funcionarios públicos o personal de otros servicios privados, exijan similar tratamiento o reserva de estacionamiento, en detrimento de la disponibilidad, flexibilidad y administración adecuada de los espacios de estacionamiento por entidades privadas, que necesitan estos espacios también para darle un servicio de calidad a las familias y personas que acuden a hacer sus transacciones, recibir servicios y demás fines.”</w:t>
      </w:r>
      <w:r w:rsidR="008670D1">
        <w:rPr>
          <w:rFonts w:ascii="Book Antiqua" w:hAnsi="Book Antiqua"/>
          <w:lang w:val="es-PR"/>
        </w:rPr>
        <w:t xml:space="preserve"> (Énfasis nuestro) </w:t>
      </w:r>
    </w:p>
    <w:p w14:paraId="3A105208" w14:textId="77777777" w:rsidR="003E1C3F" w:rsidRDefault="003E1C3F" w:rsidP="003E1C3F">
      <w:pPr>
        <w:jc w:val="both"/>
        <w:rPr>
          <w:rFonts w:ascii="Book Antiqua" w:hAnsi="Book Antiqua"/>
          <w:lang w:val="es-PR"/>
        </w:rPr>
      </w:pPr>
    </w:p>
    <w:p w14:paraId="2C6D49BE" w14:textId="7903EA46" w:rsidR="00E047C4" w:rsidRDefault="008670D1" w:rsidP="00A6583A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Se le solicitó también opinión sobre la medida al Departamento de Asuntos del Consumidor quienes suscribieron un documento firmado por la subsecretaria María F. Vélez León. En el mismo expresan los siguiente: </w:t>
      </w:r>
    </w:p>
    <w:p w14:paraId="605ECD6D" w14:textId="77777777" w:rsidR="00253891" w:rsidRDefault="00253891" w:rsidP="00A6583A">
      <w:pPr>
        <w:ind w:firstLine="720"/>
        <w:jc w:val="both"/>
        <w:rPr>
          <w:rFonts w:ascii="Book Antiqua" w:hAnsi="Book Antiqua"/>
          <w:lang w:val="es-PR"/>
        </w:rPr>
      </w:pPr>
    </w:p>
    <w:p w14:paraId="64EC9D2F" w14:textId="3048CC48" w:rsidR="00253891" w:rsidRDefault="008670D1" w:rsidP="00253891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“Luego de evaluar con detenimiento la aludida </w:t>
      </w:r>
      <w:r w:rsidR="00253891">
        <w:rPr>
          <w:rFonts w:ascii="Book Antiqua" w:hAnsi="Book Antiqua"/>
          <w:lang w:val="es-PR"/>
        </w:rPr>
        <w:t>medida, según radicada, la misma se encuentra fuera de nuestras facultades como Departamento. Nos explicamos.</w:t>
      </w:r>
    </w:p>
    <w:p w14:paraId="73D1C59D" w14:textId="1EF195E8" w:rsidR="00253891" w:rsidRDefault="00253891" w:rsidP="00253891">
      <w:pPr>
        <w:ind w:firstLine="720"/>
        <w:jc w:val="both"/>
        <w:rPr>
          <w:rFonts w:ascii="Book Antiqua" w:hAnsi="Book Antiqua"/>
          <w:lang w:val="es-PR"/>
        </w:rPr>
      </w:pPr>
    </w:p>
    <w:p w14:paraId="35109C0E" w14:textId="77662C68" w:rsidR="00253891" w:rsidRDefault="00253891" w:rsidP="00253891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La Ley 120 de 7 de junio de 1973, según enmendada, conocida como la </w:t>
      </w:r>
      <w:r>
        <w:rPr>
          <w:rFonts w:ascii="Book Antiqua" w:hAnsi="Book Antiqua"/>
          <w:i/>
          <w:iCs/>
          <w:lang w:val="es-PR"/>
        </w:rPr>
        <w:t xml:space="preserve">Ley para Regular el Negociado de Áreas para el Estacionamiento Público de Vehículos de Motor, </w:t>
      </w:r>
      <w:r>
        <w:rPr>
          <w:rFonts w:ascii="Book Antiqua" w:hAnsi="Book Antiqua"/>
          <w:lang w:val="es-PR"/>
        </w:rPr>
        <w:t xml:space="preserve">23 LPRA, faculta al Departamento para regular los estacionamientos públicos, siendo requisito para poder operar un negocio de este tipo el obtener una licencia expedida por el DACO. Ante ello, </w:t>
      </w:r>
      <w:r w:rsidR="004F2AFA">
        <w:rPr>
          <w:rFonts w:ascii="Book Antiqua" w:hAnsi="Book Antiqua"/>
          <w:lang w:val="es-PR"/>
        </w:rPr>
        <w:t>nuestra facultad</w:t>
      </w:r>
      <w:r>
        <w:rPr>
          <w:rFonts w:ascii="Book Antiqua" w:hAnsi="Book Antiqua"/>
          <w:lang w:val="es-PR"/>
        </w:rPr>
        <w:t xml:space="preserve"> se limita a las áreas de estacionamiento </w:t>
      </w:r>
      <w:r w:rsidR="00391DBF">
        <w:rPr>
          <w:rFonts w:ascii="Book Antiqua" w:hAnsi="Book Antiqua"/>
          <w:lang w:val="es-PR"/>
        </w:rPr>
        <w:t>público definidas</w:t>
      </w:r>
      <w:r>
        <w:rPr>
          <w:rFonts w:ascii="Book Antiqua" w:hAnsi="Book Antiqua"/>
          <w:lang w:val="es-PR"/>
        </w:rPr>
        <w:t xml:space="preserve"> por la propia Ley como “cualquier local, solar o área que se utilice por </w:t>
      </w:r>
      <w:r>
        <w:rPr>
          <w:rFonts w:ascii="Book Antiqua" w:hAnsi="Book Antiqua"/>
          <w:lang w:val="es-PR"/>
        </w:rPr>
        <w:lastRenderedPageBreak/>
        <w:t>cualquier persona para permitir que en el mismo se estacionen vehículos de motor mediante el pago de alguna cantidad de dinero”.</w:t>
      </w:r>
    </w:p>
    <w:p w14:paraId="1D36246C" w14:textId="411FF746" w:rsidR="00253891" w:rsidRDefault="00253891" w:rsidP="00253891">
      <w:pPr>
        <w:ind w:firstLine="720"/>
        <w:jc w:val="both"/>
        <w:rPr>
          <w:rFonts w:ascii="Book Antiqua" w:hAnsi="Book Antiqua"/>
          <w:lang w:val="es-PR"/>
        </w:rPr>
      </w:pPr>
    </w:p>
    <w:p w14:paraId="025E04D3" w14:textId="6E05E567" w:rsidR="00253891" w:rsidRPr="00253891" w:rsidRDefault="00253891" w:rsidP="00253891">
      <w:pPr>
        <w:ind w:firstLine="720"/>
        <w:jc w:val="both"/>
        <w:rPr>
          <w:rFonts w:ascii="Book Antiqua" w:hAnsi="Book Antiqua"/>
          <w:lang w:val="es-PR"/>
        </w:rPr>
      </w:pPr>
      <w:r w:rsidRPr="009439F9">
        <w:rPr>
          <w:rFonts w:ascii="Book Antiqua" w:hAnsi="Book Antiqua"/>
          <w:b/>
          <w:bCs/>
          <w:lang w:val="es-PR"/>
        </w:rPr>
        <w:t>Conforme a lo anterior, si nos ceñimos al texto propuesto en el Proyecto, este propone enmendar una Ley sobre la cual, el DACO no tiene jurisdicción</w:t>
      </w:r>
      <w:r>
        <w:rPr>
          <w:rFonts w:ascii="Book Antiqua" w:hAnsi="Book Antiqua"/>
          <w:lang w:val="es-PR"/>
        </w:rPr>
        <w:t>.</w:t>
      </w:r>
      <w:r w:rsidR="009439F9">
        <w:rPr>
          <w:rFonts w:ascii="Book Antiqua" w:hAnsi="Book Antiqua"/>
          <w:lang w:val="es-PR"/>
        </w:rPr>
        <w:t xml:space="preserve">” (Énfasis nuestro) </w:t>
      </w:r>
    </w:p>
    <w:p w14:paraId="1E3C0292" w14:textId="70197DB2" w:rsidR="00E047C4" w:rsidRDefault="00E047C4" w:rsidP="00A6583A">
      <w:pPr>
        <w:ind w:firstLine="720"/>
        <w:jc w:val="both"/>
        <w:rPr>
          <w:rFonts w:ascii="Book Antiqua" w:hAnsi="Book Antiqua"/>
          <w:lang w:val="es-PR"/>
        </w:rPr>
      </w:pPr>
    </w:p>
    <w:p w14:paraId="1CF8047C" w14:textId="32C9DCFF" w:rsidR="009439F9" w:rsidRDefault="009439F9" w:rsidP="00A6583A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De igual forma se le solicitó opinión al Departamento de Transportación y Obras Públicas quienes entendieron que no tienen jurisdicción sobre dicha regulación y que le corresponde al Departamento de Asuntos del Consumidor. En su escrito establecen lo siguiente: </w:t>
      </w:r>
    </w:p>
    <w:p w14:paraId="052FEB8C" w14:textId="7D47CCF5" w:rsidR="009439F9" w:rsidRDefault="009439F9" w:rsidP="00A6583A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“…</w:t>
      </w:r>
      <w:r w:rsidR="004E254A">
        <w:rPr>
          <w:rFonts w:ascii="Book Antiqua" w:hAnsi="Book Antiqua"/>
          <w:lang w:val="es-PR"/>
        </w:rPr>
        <w:t xml:space="preserve"> </w:t>
      </w:r>
      <w:r>
        <w:rPr>
          <w:rFonts w:ascii="Book Antiqua" w:hAnsi="Book Antiqua"/>
          <w:lang w:val="es-PR"/>
        </w:rPr>
        <w:t xml:space="preserve">no le compete a nuestro Departamento la concesión y regulaciones de tales espacios de estacionamiento. La facultad de aprobar reglamentación para requerir a los </w:t>
      </w:r>
      <w:r w:rsidR="004F2AFA">
        <w:rPr>
          <w:rFonts w:ascii="Book Antiqua" w:hAnsi="Book Antiqua"/>
          <w:lang w:val="es-PR"/>
        </w:rPr>
        <w:t>centros</w:t>
      </w:r>
      <w:r>
        <w:rPr>
          <w:rFonts w:ascii="Book Antiqua" w:hAnsi="Book Antiqua"/>
          <w:lang w:val="es-PR"/>
        </w:rPr>
        <w:t xml:space="preserve"> comerciales reservar espacio de estacionamiento para determinados usuarios, recae bajo la jurisdicción del Departamento de Asuntos al consumidor (DACO).”</w:t>
      </w:r>
    </w:p>
    <w:p w14:paraId="00A24C28" w14:textId="70B1ED6B" w:rsidR="009439F9" w:rsidRDefault="009439F9" w:rsidP="00A6583A">
      <w:pPr>
        <w:ind w:firstLine="720"/>
        <w:jc w:val="both"/>
        <w:rPr>
          <w:rFonts w:ascii="Book Antiqua" w:hAnsi="Book Antiqua"/>
          <w:lang w:val="es-PR"/>
        </w:rPr>
      </w:pPr>
    </w:p>
    <w:p w14:paraId="5B09CCD0" w14:textId="20D796F8" w:rsidR="00A56BE1" w:rsidRDefault="00A56BE1" w:rsidP="004E254A">
      <w:pPr>
        <w:ind w:firstLine="72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Por último, se le solicitó memorial explicativo al Departamento de Seguridad Pública</w:t>
      </w:r>
      <w:r w:rsidR="004F2AFA">
        <w:rPr>
          <w:rFonts w:ascii="Book Antiqua" w:hAnsi="Book Antiqua"/>
          <w:lang w:val="es-PR"/>
        </w:rPr>
        <w:t xml:space="preserve"> quienes</w:t>
      </w:r>
      <w:r>
        <w:rPr>
          <w:rFonts w:ascii="Book Antiqua" w:hAnsi="Book Antiqua"/>
          <w:lang w:val="es-PR"/>
        </w:rPr>
        <w:t xml:space="preserve"> </w:t>
      </w:r>
      <w:r w:rsidR="004F2AFA">
        <w:rPr>
          <w:rFonts w:ascii="Book Antiqua" w:hAnsi="Book Antiqua"/>
          <w:lang w:val="es-PR"/>
        </w:rPr>
        <w:t>endosaron</w:t>
      </w:r>
      <w:r>
        <w:rPr>
          <w:rFonts w:ascii="Book Antiqua" w:hAnsi="Book Antiqua"/>
          <w:lang w:val="es-PR"/>
        </w:rPr>
        <w:t xml:space="preserve"> la medida</w:t>
      </w:r>
      <w:r w:rsidR="004E254A">
        <w:rPr>
          <w:rFonts w:ascii="Book Antiqua" w:hAnsi="Book Antiqua"/>
          <w:lang w:val="es-PR"/>
        </w:rPr>
        <w:t>.</w:t>
      </w:r>
    </w:p>
    <w:p w14:paraId="2AF17361" w14:textId="77777777" w:rsidR="0087109D" w:rsidRDefault="0087109D" w:rsidP="0087109D">
      <w:pPr>
        <w:ind w:firstLine="720"/>
        <w:jc w:val="both"/>
        <w:rPr>
          <w:rFonts w:ascii="Book Antiqua" w:hAnsi="Book Antiqua"/>
          <w:szCs w:val="24"/>
          <w:lang w:val="es-PR"/>
        </w:rPr>
      </w:pPr>
    </w:p>
    <w:p w14:paraId="0BE4213E" w14:textId="0F0E0B66" w:rsidR="0087109D" w:rsidRDefault="0087109D" w:rsidP="0087109D">
      <w:pPr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Cs w:val="24"/>
          <w:lang w:val="es-PR"/>
        </w:rPr>
      </w:pPr>
      <w:r>
        <w:rPr>
          <w:rFonts w:ascii="Book Antiqua" w:hAnsi="Book Antiqua"/>
          <w:b/>
          <w:szCs w:val="24"/>
          <w:lang w:val="es-PR"/>
        </w:rPr>
        <w:t>CONCLUSI</w:t>
      </w:r>
      <w:r w:rsidR="009505D6">
        <w:rPr>
          <w:rFonts w:ascii="Book Antiqua" w:hAnsi="Book Antiqua"/>
          <w:b/>
          <w:szCs w:val="24"/>
          <w:lang w:val="es-PR"/>
        </w:rPr>
        <w:t>Ó</w:t>
      </w:r>
      <w:r>
        <w:rPr>
          <w:rFonts w:ascii="Book Antiqua" w:hAnsi="Book Antiqua"/>
          <w:b/>
          <w:szCs w:val="24"/>
          <w:lang w:val="es-PR"/>
        </w:rPr>
        <w:t>N</w:t>
      </w:r>
    </w:p>
    <w:p w14:paraId="37BA638C" w14:textId="3B31486D" w:rsidR="00DF7779" w:rsidRPr="00DF7779" w:rsidRDefault="0087109D" w:rsidP="00DF7779">
      <w:pPr>
        <w:ind w:firstLine="72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 xml:space="preserve">La Comisión de Transportación, Infraestructura y Obras Públicas de la Cámara de Representantes, considera que, a tenor con lo antes expuesto, la medida ante nuestra </w:t>
      </w:r>
      <w:r w:rsidR="009505D6">
        <w:rPr>
          <w:rFonts w:ascii="Book Antiqua" w:hAnsi="Book Antiqua"/>
          <w:szCs w:val="24"/>
          <w:lang w:val="es-PR"/>
        </w:rPr>
        <w:t>consideración no</w:t>
      </w:r>
      <w:r w:rsidR="00384D44">
        <w:rPr>
          <w:rFonts w:ascii="Book Antiqua" w:hAnsi="Book Antiqua"/>
          <w:szCs w:val="24"/>
          <w:lang w:val="es-PR"/>
        </w:rPr>
        <w:t xml:space="preserve"> </w:t>
      </w:r>
      <w:r>
        <w:rPr>
          <w:rFonts w:ascii="Book Antiqua" w:hAnsi="Book Antiqua"/>
          <w:szCs w:val="24"/>
          <w:lang w:val="es-PR"/>
        </w:rPr>
        <w:t xml:space="preserve">debe recibir el aval de este Augusto Cuerpo. </w:t>
      </w:r>
      <w:r w:rsidR="00DF7779">
        <w:rPr>
          <w:rFonts w:ascii="Book Antiqua" w:hAnsi="Book Antiqua"/>
          <w:szCs w:val="24"/>
          <w:lang w:val="es-PR"/>
        </w:rPr>
        <w:t>Por lo que</w:t>
      </w:r>
      <w:r w:rsidR="00DF7779" w:rsidRPr="00E97D0C">
        <w:rPr>
          <w:rFonts w:ascii="Book Antiqua" w:hAnsi="Book Antiqua"/>
          <w:lang w:val="es-PR"/>
        </w:rPr>
        <w:t>,</w:t>
      </w:r>
      <w:r w:rsidR="00DF7779">
        <w:rPr>
          <w:rFonts w:ascii="Book Antiqua" w:hAnsi="Book Antiqua"/>
          <w:lang w:val="es-PR"/>
        </w:rPr>
        <w:t xml:space="preserve"> previo estudio y análisis del</w:t>
      </w:r>
      <w:r w:rsidR="00DF7779" w:rsidRPr="00E97D0C">
        <w:rPr>
          <w:rFonts w:ascii="Book Antiqua" w:hAnsi="Book Antiqua"/>
          <w:lang w:val="es-PR"/>
        </w:rPr>
        <w:t xml:space="preserve"> </w:t>
      </w:r>
      <w:r w:rsidR="00DF7779">
        <w:rPr>
          <w:rFonts w:ascii="Book Antiqua" w:hAnsi="Book Antiqua"/>
          <w:b/>
          <w:lang w:val="es-PR"/>
        </w:rPr>
        <w:t>Proyecto</w:t>
      </w:r>
      <w:r w:rsidR="00DF7779" w:rsidRPr="00E97D0C">
        <w:rPr>
          <w:rFonts w:ascii="Book Antiqua" w:hAnsi="Book Antiqua"/>
          <w:b/>
          <w:lang w:val="es-PR"/>
        </w:rPr>
        <w:t xml:space="preserve"> </w:t>
      </w:r>
      <w:r w:rsidR="00DF7779">
        <w:rPr>
          <w:rFonts w:ascii="Book Antiqua" w:hAnsi="Book Antiqua"/>
          <w:b/>
          <w:lang w:val="es-PR"/>
        </w:rPr>
        <w:t xml:space="preserve">de la Cámara </w:t>
      </w:r>
      <w:r w:rsidR="00EE1EC3">
        <w:rPr>
          <w:rFonts w:ascii="Book Antiqua" w:hAnsi="Book Antiqua"/>
          <w:b/>
          <w:lang w:val="es-PR"/>
        </w:rPr>
        <w:t>1</w:t>
      </w:r>
      <w:r w:rsidR="004F2AFA">
        <w:rPr>
          <w:rFonts w:ascii="Book Antiqua" w:hAnsi="Book Antiqua"/>
          <w:b/>
          <w:lang w:val="es-PR"/>
        </w:rPr>
        <w:t>165</w:t>
      </w:r>
      <w:r w:rsidR="00DF7779" w:rsidRPr="00E97D0C">
        <w:rPr>
          <w:rFonts w:ascii="Book Antiqua" w:hAnsi="Book Antiqua"/>
          <w:lang w:val="es-PR"/>
        </w:rPr>
        <w:t xml:space="preserve">, somete a este Alto Cuerpo </w:t>
      </w:r>
      <w:r w:rsidR="00DF7779">
        <w:rPr>
          <w:rFonts w:ascii="Book Antiqua" w:hAnsi="Book Antiqua"/>
          <w:lang w:val="es-PR"/>
        </w:rPr>
        <w:t>el presente i</w:t>
      </w:r>
      <w:r w:rsidR="00DF7779" w:rsidRPr="00E97D0C">
        <w:rPr>
          <w:rFonts w:ascii="Book Antiqua" w:hAnsi="Book Antiqua"/>
          <w:lang w:val="es-PR"/>
        </w:rPr>
        <w:t xml:space="preserve">nforme </w:t>
      </w:r>
      <w:r w:rsidR="00384D44">
        <w:rPr>
          <w:rFonts w:ascii="Book Antiqua" w:hAnsi="Book Antiqua"/>
          <w:lang w:val="es-PR"/>
        </w:rPr>
        <w:t>negativo</w:t>
      </w:r>
      <w:r w:rsidR="00DF7779" w:rsidRPr="00E97D0C">
        <w:rPr>
          <w:rFonts w:ascii="Book Antiqua" w:hAnsi="Book Antiqua"/>
          <w:lang w:val="es-PR"/>
        </w:rPr>
        <w:t xml:space="preserve"> con sus hallazgos, recomendaciones y conclusiones, solicitando </w:t>
      </w:r>
      <w:r w:rsidR="00384D44">
        <w:rPr>
          <w:rFonts w:ascii="Book Antiqua" w:hAnsi="Book Antiqua"/>
          <w:lang w:val="es-PR"/>
        </w:rPr>
        <w:t>que no sea</w:t>
      </w:r>
      <w:r w:rsidR="00DF7779" w:rsidRPr="00E97D0C">
        <w:rPr>
          <w:rFonts w:ascii="Book Antiqua" w:hAnsi="Book Antiqua"/>
          <w:lang w:val="es-PR"/>
        </w:rPr>
        <w:t xml:space="preserve"> aprob</w:t>
      </w:r>
      <w:r w:rsidR="00384D44">
        <w:rPr>
          <w:rFonts w:ascii="Book Antiqua" w:hAnsi="Book Antiqua"/>
          <w:lang w:val="es-PR"/>
        </w:rPr>
        <w:t>ado.</w:t>
      </w:r>
    </w:p>
    <w:p w14:paraId="3870D835" w14:textId="77777777" w:rsidR="00DF7779" w:rsidRDefault="00DF7779" w:rsidP="0087109D">
      <w:pPr>
        <w:autoSpaceDE w:val="0"/>
        <w:autoSpaceDN w:val="0"/>
        <w:adjustRightInd w:val="0"/>
        <w:jc w:val="both"/>
        <w:rPr>
          <w:rFonts w:ascii="Book Antiqua" w:hAnsi="Book Antiqua"/>
          <w:szCs w:val="24"/>
          <w:lang w:val="es-ES_tradnl"/>
        </w:rPr>
      </w:pPr>
    </w:p>
    <w:p w14:paraId="2A41B280" w14:textId="0FFB5822" w:rsidR="0087109D" w:rsidRDefault="0087109D" w:rsidP="0087109D">
      <w:pPr>
        <w:autoSpaceDE w:val="0"/>
        <w:autoSpaceDN w:val="0"/>
        <w:adjustRightInd w:val="0"/>
        <w:jc w:val="both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>RESPETUOSAMENTE SOMETIDO,</w:t>
      </w:r>
    </w:p>
    <w:p w14:paraId="62934F24" w14:textId="6CB45077" w:rsidR="00DF7779" w:rsidRDefault="00DF7779" w:rsidP="0087109D">
      <w:pPr>
        <w:jc w:val="both"/>
        <w:rPr>
          <w:rFonts w:ascii="Book Antiqua" w:hAnsi="Book Antiqua"/>
          <w:szCs w:val="24"/>
          <w:lang w:val="es-PR"/>
        </w:rPr>
      </w:pPr>
    </w:p>
    <w:p w14:paraId="5C7FE163" w14:textId="77777777" w:rsidR="004F2AFA" w:rsidRDefault="004F2AFA" w:rsidP="0087109D">
      <w:pPr>
        <w:jc w:val="both"/>
        <w:rPr>
          <w:rFonts w:ascii="Book Antiqua" w:hAnsi="Book Antiqua"/>
          <w:szCs w:val="24"/>
          <w:lang w:val="es-PR"/>
        </w:rPr>
      </w:pPr>
    </w:p>
    <w:p w14:paraId="7B4C8789" w14:textId="418D9603" w:rsidR="0087109D" w:rsidRDefault="0087109D" w:rsidP="0087109D">
      <w:pPr>
        <w:jc w:val="both"/>
        <w:rPr>
          <w:rFonts w:ascii="Book Antiqua" w:hAnsi="Book Antiqua"/>
          <w:b/>
          <w:szCs w:val="24"/>
          <w:lang w:val="es-PR"/>
        </w:rPr>
      </w:pPr>
      <w:r>
        <w:rPr>
          <w:rFonts w:ascii="Book Antiqua" w:hAnsi="Book Antiqua"/>
          <w:b/>
          <w:szCs w:val="24"/>
          <w:lang w:val="es-PR"/>
        </w:rPr>
        <w:t>José Aníbal Díaz Collazo</w:t>
      </w:r>
    </w:p>
    <w:p w14:paraId="41F88E40" w14:textId="77777777" w:rsidR="0087109D" w:rsidRPr="00017C31" w:rsidRDefault="0087109D" w:rsidP="0087109D">
      <w:pPr>
        <w:jc w:val="both"/>
        <w:rPr>
          <w:rFonts w:ascii="Book Antiqua" w:hAnsi="Book Antiqua"/>
          <w:bCs/>
          <w:szCs w:val="24"/>
          <w:lang w:val="es-PR"/>
        </w:rPr>
      </w:pPr>
      <w:r w:rsidRPr="00017C31">
        <w:rPr>
          <w:rFonts w:ascii="Book Antiqua" w:hAnsi="Book Antiqua"/>
          <w:bCs/>
          <w:szCs w:val="24"/>
          <w:lang w:val="es-PR"/>
        </w:rPr>
        <w:t>Presidente</w:t>
      </w:r>
    </w:p>
    <w:p w14:paraId="77761446" w14:textId="77777777" w:rsidR="0087109D" w:rsidRPr="00017C31" w:rsidRDefault="0087109D" w:rsidP="0087109D">
      <w:pPr>
        <w:jc w:val="both"/>
        <w:rPr>
          <w:rFonts w:ascii="Book Antiqua" w:hAnsi="Book Antiqua"/>
          <w:bCs/>
          <w:szCs w:val="24"/>
          <w:lang w:val="es-PR"/>
        </w:rPr>
      </w:pPr>
      <w:r w:rsidRPr="00017C31">
        <w:rPr>
          <w:rFonts w:ascii="Book Antiqua" w:hAnsi="Book Antiqua"/>
          <w:bCs/>
          <w:szCs w:val="24"/>
          <w:lang w:val="es-PR"/>
        </w:rPr>
        <w:t>Comisión de Transportación, Infraestructura y Obras Públicas</w:t>
      </w:r>
    </w:p>
    <w:p w14:paraId="39556A70" w14:textId="16379F9B" w:rsidR="0040714D" w:rsidRPr="000B3C47" w:rsidRDefault="0087109D" w:rsidP="000B3C47">
      <w:pPr>
        <w:jc w:val="both"/>
        <w:rPr>
          <w:rFonts w:ascii="Book Antiqua" w:hAnsi="Book Antiqua"/>
          <w:bCs/>
          <w:szCs w:val="24"/>
          <w:lang w:val="es-PR"/>
        </w:rPr>
      </w:pPr>
      <w:r w:rsidRPr="00017C31">
        <w:rPr>
          <w:rFonts w:ascii="Book Antiqua" w:hAnsi="Book Antiqua"/>
          <w:bCs/>
          <w:szCs w:val="24"/>
          <w:lang w:val="es-PR"/>
        </w:rPr>
        <w:t>Cámara de Representante</w:t>
      </w:r>
      <w:r w:rsidR="00017C31">
        <w:rPr>
          <w:rFonts w:ascii="Book Antiqua" w:hAnsi="Book Antiqua"/>
          <w:bCs/>
          <w:szCs w:val="24"/>
          <w:lang w:val="es-PR"/>
        </w:rPr>
        <w:t>s</w:t>
      </w:r>
    </w:p>
    <w:sectPr w:rsidR="0040714D" w:rsidRPr="000B3C47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D936" w14:textId="77777777" w:rsidR="00EF3E4D" w:rsidRDefault="00EF3E4D">
      <w:r>
        <w:separator/>
      </w:r>
    </w:p>
  </w:endnote>
  <w:endnote w:type="continuationSeparator" w:id="0">
    <w:p w14:paraId="295CD51C" w14:textId="77777777" w:rsidR="00EF3E4D" w:rsidRDefault="00EF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030D" w14:textId="77777777" w:rsidR="00EF3E4D" w:rsidRDefault="00EF3E4D">
      <w:r>
        <w:separator/>
      </w:r>
    </w:p>
  </w:footnote>
  <w:footnote w:type="continuationSeparator" w:id="0">
    <w:p w14:paraId="54FBC10D" w14:textId="77777777" w:rsidR="00EF3E4D" w:rsidRDefault="00EF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4F0E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9EF"/>
    <w:multiLevelType w:val="hybridMultilevel"/>
    <w:tmpl w:val="90C8E9E8"/>
    <w:lvl w:ilvl="0" w:tplc="CD34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2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6C2845"/>
    <w:rsid w:val="00017C31"/>
    <w:rsid w:val="00020BBB"/>
    <w:rsid w:val="000253AC"/>
    <w:rsid w:val="00056024"/>
    <w:rsid w:val="000922F2"/>
    <w:rsid w:val="00095AE1"/>
    <w:rsid w:val="000A6B6C"/>
    <w:rsid w:val="000B0DBB"/>
    <w:rsid w:val="000B3C47"/>
    <w:rsid w:val="000C62F6"/>
    <w:rsid w:val="000F4504"/>
    <w:rsid w:val="00106480"/>
    <w:rsid w:val="00111E71"/>
    <w:rsid w:val="00127C6A"/>
    <w:rsid w:val="00131214"/>
    <w:rsid w:val="001363FE"/>
    <w:rsid w:val="0017132B"/>
    <w:rsid w:val="0017514C"/>
    <w:rsid w:val="001752C2"/>
    <w:rsid w:val="00187601"/>
    <w:rsid w:val="001A286D"/>
    <w:rsid w:val="001D17B6"/>
    <w:rsid w:val="001F2A4B"/>
    <w:rsid w:val="001F4CA3"/>
    <w:rsid w:val="001F612A"/>
    <w:rsid w:val="001F77FE"/>
    <w:rsid w:val="00211396"/>
    <w:rsid w:val="00226AE6"/>
    <w:rsid w:val="0024125A"/>
    <w:rsid w:val="00245B34"/>
    <w:rsid w:val="00253891"/>
    <w:rsid w:val="00263355"/>
    <w:rsid w:val="00273792"/>
    <w:rsid w:val="00283225"/>
    <w:rsid w:val="002A50CA"/>
    <w:rsid w:val="002C38AD"/>
    <w:rsid w:val="002D4AC8"/>
    <w:rsid w:val="002E6812"/>
    <w:rsid w:val="00320D78"/>
    <w:rsid w:val="00345A35"/>
    <w:rsid w:val="00360028"/>
    <w:rsid w:val="00380FE5"/>
    <w:rsid w:val="00384D44"/>
    <w:rsid w:val="003913A0"/>
    <w:rsid w:val="00391DBF"/>
    <w:rsid w:val="003924DD"/>
    <w:rsid w:val="00394FCB"/>
    <w:rsid w:val="003963F4"/>
    <w:rsid w:val="003A5A05"/>
    <w:rsid w:val="003B5254"/>
    <w:rsid w:val="003B75A6"/>
    <w:rsid w:val="003E1C3F"/>
    <w:rsid w:val="004061CA"/>
    <w:rsid w:val="0040714D"/>
    <w:rsid w:val="004110BF"/>
    <w:rsid w:val="00415689"/>
    <w:rsid w:val="00424E90"/>
    <w:rsid w:val="004440CB"/>
    <w:rsid w:val="004713D2"/>
    <w:rsid w:val="00495E50"/>
    <w:rsid w:val="004E254A"/>
    <w:rsid w:val="004F2AFA"/>
    <w:rsid w:val="00521639"/>
    <w:rsid w:val="005240E9"/>
    <w:rsid w:val="00532BB7"/>
    <w:rsid w:val="005332E4"/>
    <w:rsid w:val="0053550C"/>
    <w:rsid w:val="00541F5A"/>
    <w:rsid w:val="00546DC9"/>
    <w:rsid w:val="00555018"/>
    <w:rsid w:val="00565025"/>
    <w:rsid w:val="005723DC"/>
    <w:rsid w:val="0057275F"/>
    <w:rsid w:val="005A33A5"/>
    <w:rsid w:val="005A59C5"/>
    <w:rsid w:val="006210DC"/>
    <w:rsid w:val="00624E2C"/>
    <w:rsid w:val="0064349D"/>
    <w:rsid w:val="00653EED"/>
    <w:rsid w:val="006541EC"/>
    <w:rsid w:val="00664477"/>
    <w:rsid w:val="006713F3"/>
    <w:rsid w:val="0067658B"/>
    <w:rsid w:val="00685549"/>
    <w:rsid w:val="00692C11"/>
    <w:rsid w:val="00695860"/>
    <w:rsid w:val="006B7365"/>
    <w:rsid w:val="006C2845"/>
    <w:rsid w:val="006C2D81"/>
    <w:rsid w:val="006C7DF8"/>
    <w:rsid w:val="006F6BBC"/>
    <w:rsid w:val="007109B5"/>
    <w:rsid w:val="00727713"/>
    <w:rsid w:val="00750FC8"/>
    <w:rsid w:val="007533D0"/>
    <w:rsid w:val="00755069"/>
    <w:rsid w:val="0078590F"/>
    <w:rsid w:val="007A7E21"/>
    <w:rsid w:val="007B0660"/>
    <w:rsid w:val="007C17F3"/>
    <w:rsid w:val="007D6894"/>
    <w:rsid w:val="007D7ADB"/>
    <w:rsid w:val="007E3868"/>
    <w:rsid w:val="00803852"/>
    <w:rsid w:val="00820C41"/>
    <w:rsid w:val="008235B1"/>
    <w:rsid w:val="008472F9"/>
    <w:rsid w:val="00850256"/>
    <w:rsid w:val="008533E8"/>
    <w:rsid w:val="008670D1"/>
    <w:rsid w:val="0087109D"/>
    <w:rsid w:val="00877128"/>
    <w:rsid w:val="00880556"/>
    <w:rsid w:val="008B3E77"/>
    <w:rsid w:val="008C54D6"/>
    <w:rsid w:val="008D5FF4"/>
    <w:rsid w:val="009115BA"/>
    <w:rsid w:val="0093686F"/>
    <w:rsid w:val="0094043B"/>
    <w:rsid w:val="00942FD4"/>
    <w:rsid w:val="009439F9"/>
    <w:rsid w:val="009505D6"/>
    <w:rsid w:val="00951997"/>
    <w:rsid w:val="00960476"/>
    <w:rsid w:val="00975CF1"/>
    <w:rsid w:val="0097678B"/>
    <w:rsid w:val="00990352"/>
    <w:rsid w:val="009920DB"/>
    <w:rsid w:val="009A36EB"/>
    <w:rsid w:val="009A447C"/>
    <w:rsid w:val="009B5523"/>
    <w:rsid w:val="009C146E"/>
    <w:rsid w:val="00A03405"/>
    <w:rsid w:val="00A054D1"/>
    <w:rsid w:val="00A0674C"/>
    <w:rsid w:val="00A127CE"/>
    <w:rsid w:val="00A1528A"/>
    <w:rsid w:val="00A33918"/>
    <w:rsid w:val="00A35B73"/>
    <w:rsid w:val="00A41E7B"/>
    <w:rsid w:val="00A56BE1"/>
    <w:rsid w:val="00A64FB2"/>
    <w:rsid w:val="00A6583A"/>
    <w:rsid w:val="00A707EF"/>
    <w:rsid w:val="00A7629F"/>
    <w:rsid w:val="00A807F5"/>
    <w:rsid w:val="00A8194B"/>
    <w:rsid w:val="00A87919"/>
    <w:rsid w:val="00AA0522"/>
    <w:rsid w:val="00AE4310"/>
    <w:rsid w:val="00AF0CEE"/>
    <w:rsid w:val="00AF3404"/>
    <w:rsid w:val="00AF3841"/>
    <w:rsid w:val="00AF42FC"/>
    <w:rsid w:val="00B03F91"/>
    <w:rsid w:val="00B26610"/>
    <w:rsid w:val="00B60343"/>
    <w:rsid w:val="00B6646B"/>
    <w:rsid w:val="00B667AD"/>
    <w:rsid w:val="00B77B71"/>
    <w:rsid w:val="00B84C38"/>
    <w:rsid w:val="00B86C00"/>
    <w:rsid w:val="00B947F6"/>
    <w:rsid w:val="00BB0260"/>
    <w:rsid w:val="00BB6590"/>
    <w:rsid w:val="00BC1B76"/>
    <w:rsid w:val="00BC7A4E"/>
    <w:rsid w:val="00BC7AD3"/>
    <w:rsid w:val="00BF16AA"/>
    <w:rsid w:val="00C354B8"/>
    <w:rsid w:val="00C52517"/>
    <w:rsid w:val="00C60921"/>
    <w:rsid w:val="00C62936"/>
    <w:rsid w:val="00C653F2"/>
    <w:rsid w:val="00C679E6"/>
    <w:rsid w:val="00C700A5"/>
    <w:rsid w:val="00C7117B"/>
    <w:rsid w:val="00C73E9F"/>
    <w:rsid w:val="00C757E6"/>
    <w:rsid w:val="00C87DCB"/>
    <w:rsid w:val="00C908F9"/>
    <w:rsid w:val="00CA0917"/>
    <w:rsid w:val="00CA1099"/>
    <w:rsid w:val="00CD66BD"/>
    <w:rsid w:val="00D417C2"/>
    <w:rsid w:val="00D60936"/>
    <w:rsid w:val="00D709EB"/>
    <w:rsid w:val="00D74714"/>
    <w:rsid w:val="00D82F3F"/>
    <w:rsid w:val="00D921C6"/>
    <w:rsid w:val="00D958C2"/>
    <w:rsid w:val="00DA29E9"/>
    <w:rsid w:val="00DC4E12"/>
    <w:rsid w:val="00DF28AB"/>
    <w:rsid w:val="00DF7779"/>
    <w:rsid w:val="00E047C4"/>
    <w:rsid w:val="00E04AB5"/>
    <w:rsid w:val="00E06ECC"/>
    <w:rsid w:val="00E41E81"/>
    <w:rsid w:val="00E421FF"/>
    <w:rsid w:val="00E50EEA"/>
    <w:rsid w:val="00E52F58"/>
    <w:rsid w:val="00E6712C"/>
    <w:rsid w:val="00E750CE"/>
    <w:rsid w:val="00EC0377"/>
    <w:rsid w:val="00EC26AA"/>
    <w:rsid w:val="00ED4EA3"/>
    <w:rsid w:val="00ED5793"/>
    <w:rsid w:val="00ED7A53"/>
    <w:rsid w:val="00EE1EC3"/>
    <w:rsid w:val="00EE4273"/>
    <w:rsid w:val="00EF3E4D"/>
    <w:rsid w:val="00F02004"/>
    <w:rsid w:val="00F042CB"/>
    <w:rsid w:val="00F14A4B"/>
    <w:rsid w:val="00F60A20"/>
    <w:rsid w:val="00F62685"/>
    <w:rsid w:val="00F773D2"/>
    <w:rsid w:val="00F80D00"/>
    <w:rsid w:val="00F80F49"/>
    <w:rsid w:val="00FC0A95"/>
    <w:rsid w:val="00FC3D9C"/>
    <w:rsid w:val="00FD680E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2F4AD"/>
  <w15:chartTrackingRefBased/>
  <w15:docId w15:val="{29A95BC8-9E95-48D2-8985-F5DD3FF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bilonia\Desktop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6</TotalTime>
  <Pages>3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Efrain Babilonia Soto</dc:creator>
  <cp:keywords/>
  <cp:lastModifiedBy>Janelle M. Bonilla Ortiz</cp:lastModifiedBy>
  <cp:revision>2</cp:revision>
  <cp:lastPrinted>2023-01-24T14:53:00Z</cp:lastPrinted>
  <dcterms:created xsi:type="dcterms:W3CDTF">2023-02-01T19:26:00Z</dcterms:created>
  <dcterms:modified xsi:type="dcterms:W3CDTF">2023-02-01T19:26:00Z</dcterms:modified>
</cp:coreProperties>
</file>