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AAF3" w14:textId="77777777" w:rsidR="00FC42EE" w:rsidRPr="00FC42EE" w:rsidRDefault="00FC42EE" w:rsidP="00675D58">
      <w:pPr>
        <w:jc w:val="center"/>
        <w:rPr>
          <w:rFonts w:ascii="Book Antiqua" w:hAnsi="Book Antiqua"/>
          <w:sz w:val="28"/>
          <w:szCs w:val="36"/>
          <w:lang w:val="es-ES_tradnl"/>
        </w:rPr>
      </w:pPr>
      <w:r w:rsidRPr="00FC42EE">
        <w:rPr>
          <w:rFonts w:ascii="Book Antiqua" w:hAnsi="Book Antiqua"/>
          <w:sz w:val="28"/>
          <w:szCs w:val="36"/>
          <w:lang w:val="es-ES_tradnl"/>
        </w:rPr>
        <w:t>ESTADO LIBRE ASOCIADO DE PUERTO RICO</w:t>
      </w:r>
    </w:p>
    <w:p w14:paraId="7E883505" w14:textId="77777777" w:rsidR="00FC42EE" w:rsidRPr="00970FCB" w:rsidRDefault="00FC42EE" w:rsidP="00675D58">
      <w:pPr>
        <w:jc w:val="center"/>
        <w:rPr>
          <w:rFonts w:ascii="Book Antiqua" w:hAnsi="Book Antiqua"/>
          <w:lang w:val="es-ES_tradnl"/>
        </w:rPr>
      </w:pPr>
    </w:p>
    <w:p w14:paraId="4A66EDB0" w14:textId="2B7672F7" w:rsidR="00FC42EE" w:rsidRPr="00970FCB" w:rsidRDefault="00FC42EE" w:rsidP="00675D58">
      <w:pPr>
        <w:pStyle w:val="Title2"/>
        <w:tabs>
          <w:tab w:val="clear" w:pos="7776"/>
        </w:tabs>
        <w:rPr>
          <w:rFonts w:ascii="Book Antiqua" w:hAnsi="Book Antiqua"/>
          <w:lang w:val="es-ES_tradnl"/>
        </w:rPr>
      </w:pPr>
      <w:r w:rsidRPr="00970FCB">
        <w:rPr>
          <w:rFonts w:ascii="Book Antiqua" w:hAnsi="Book Antiqua"/>
          <w:lang w:val="es-ES_tradnl"/>
        </w:rPr>
        <w:t xml:space="preserve">19 </w:t>
      </w:r>
      <w:r w:rsidRPr="00970FCB">
        <w:rPr>
          <w:rFonts w:ascii="Book Antiqua" w:hAnsi="Book Antiqua"/>
          <w:vertAlign w:val="superscript"/>
          <w:lang w:val="es-ES_tradnl"/>
        </w:rPr>
        <w:t>na.</w:t>
      </w:r>
      <w:r w:rsidRPr="00970FCB">
        <w:rPr>
          <w:rFonts w:ascii="Book Antiqua" w:hAnsi="Book Antiqua"/>
          <w:lang w:val="es-ES_tradnl"/>
        </w:rPr>
        <w:tab/>
        <w:t>Asamblea</w:t>
      </w:r>
      <w:r w:rsidRPr="00970FCB">
        <w:rPr>
          <w:rFonts w:ascii="Book Antiqua" w:hAnsi="Book Antiqua"/>
          <w:lang w:val="es-ES_tradnl"/>
        </w:rPr>
        <w:tab/>
      </w:r>
      <w:r w:rsidR="005A1336">
        <w:rPr>
          <w:rFonts w:ascii="Book Antiqua" w:hAnsi="Book Antiqua"/>
          <w:lang w:val="es-ES_tradnl"/>
        </w:rPr>
        <w:t>3</w:t>
      </w:r>
      <w:r w:rsidRPr="00970FCB">
        <w:rPr>
          <w:rFonts w:ascii="Book Antiqua" w:hAnsi="Book Antiqua"/>
          <w:lang w:val="es-ES_tradnl"/>
        </w:rPr>
        <w:t xml:space="preserve"> </w:t>
      </w:r>
      <w:proofErr w:type="spellStart"/>
      <w:r w:rsidRPr="00970FCB">
        <w:rPr>
          <w:rFonts w:ascii="Book Antiqua" w:hAnsi="Book Antiqua"/>
          <w:vertAlign w:val="superscript"/>
          <w:lang w:val="es-ES_tradnl"/>
        </w:rPr>
        <w:t>ra</w:t>
      </w:r>
      <w:proofErr w:type="spellEnd"/>
      <w:r w:rsidRPr="00970FCB">
        <w:rPr>
          <w:rFonts w:ascii="Book Antiqua" w:hAnsi="Book Antiqua"/>
          <w:vertAlign w:val="superscript"/>
          <w:lang w:val="es-ES_tradnl"/>
        </w:rPr>
        <w:t>.</w:t>
      </w:r>
      <w:r w:rsidR="00675D58">
        <w:rPr>
          <w:rFonts w:ascii="Book Antiqua" w:hAnsi="Book Antiqua"/>
          <w:vertAlign w:val="superscript"/>
          <w:lang w:val="es-ES_tradnl"/>
        </w:rPr>
        <w:t xml:space="preserve"> </w:t>
      </w:r>
      <w:r w:rsidRPr="00970FCB">
        <w:rPr>
          <w:rFonts w:ascii="Book Antiqua" w:hAnsi="Book Antiqua"/>
          <w:lang w:val="es-ES_tradnl"/>
        </w:rPr>
        <w:t>Sesión</w:t>
      </w:r>
    </w:p>
    <w:p w14:paraId="69B94FED" w14:textId="026BC312" w:rsidR="00FC42EE" w:rsidRPr="00970FCB" w:rsidRDefault="00FC42EE" w:rsidP="00675D58">
      <w:pPr>
        <w:pStyle w:val="Title2"/>
        <w:tabs>
          <w:tab w:val="clear" w:pos="7776"/>
        </w:tabs>
        <w:rPr>
          <w:rFonts w:ascii="Book Antiqua" w:hAnsi="Book Antiqua"/>
          <w:lang w:val="es-ES_tradnl"/>
        </w:rPr>
      </w:pPr>
      <w:r w:rsidRPr="00970FCB">
        <w:rPr>
          <w:rFonts w:ascii="Book Antiqua" w:hAnsi="Book Antiqua"/>
          <w:lang w:val="es-ES_tradnl"/>
        </w:rPr>
        <w:tab/>
        <w:t>Legislativa</w:t>
      </w:r>
      <w:r w:rsidRPr="00970FCB">
        <w:rPr>
          <w:rFonts w:ascii="Book Antiqua" w:hAnsi="Book Antiqua"/>
          <w:lang w:val="es-ES_tradnl"/>
        </w:rPr>
        <w:tab/>
      </w:r>
      <w:r w:rsidR="00675D58">
        <w:rPr>
          <w:rFonts w:ascii="Book Antiqua" w:hAnsi="Book Antiqua"/>
          <w:lang w:val="es-ES_tradnl"/>
        </w:rPr>
        <w:t xml:space="preserve">       </w:t>
      </w:r>
      <w:r w:rsidRPr="00970FCB">
        <w:rPr>
          <w:rFonts w:ascii="Book Antiqua" w:hAnsi="Book Antiqua"/>
          <w:lang w:val="es-ES_tradnl"/>
        </w:rPr>
        <w:t>Ordinaria</w:t>
      </w:r>
    </w:p>
    <w:p w14:paraId="053C32E2" w14:textId="77777777" w:rsidR="00FC42EE" w:rsidRPr="00970FCB" w:rsidRDefault="00FC42EE" w:rsidP="00675D58">
      <w:pPr>
        <w:rPr>
          <w:rFonts w:ascii="Book Antiqua" w:hAnsi="Book Antiqua"/>
          <w:lang w:val="es-ES_tradnl"/>
        </w:rPr>
      </w:pPr>
    </w:p>
    <w:p w14:paraId="7178BE46" w14:textId="77777777" w:rsidR="00FC42EE" w:rsidRDefault="00FC42EE" w:rsidP="00675D58">
      <w:pPr>
        <w:jc w:val="center"/>
        <w:rPr>
          <w:rFonts w:ascii="Book Antiqua" w:hAnsi="Book Antiqua"/>
          <w:b/>
          <w:sz w:val="36"/>
          <w:szCs w:val="36"/>
          <w:lang w:val="es-ES_tradnl"/>
        </w:rPr>
      </w:pPr>
      <w:r>
        <w:rPr>
          <w:rFonts w:ascii="Book Antiqua" w:hAnsi="Book Antiqua"/>
          <w:b/>
          <w:sz w:val="36"/>
          <w:szCs w:val="36"/>
          <w:lang w:val="es-ES_tradnl"/>
        </w:rPr>
        <w:t>CÁMARA DE REPRESENTANTES</w:t>
      </w:r>
    </w:p>
    <w:p w14:paraId="2920E8D4" w14:textId="77777777" w:rsidR="00675D58" w:rsidRPr="00675D58" w:rsidRDefault="00675D58" w:rsidP="00675D58">
      <w:pPr>
        <w:jc w:val="center"/>
        <w:rPr>
          <w:rFonts w:ascii="Book Antiqua" w:hAnsi="Book Antiqua"/>
          <w:b/>
          <w:szCs w:val="24"/>
          <w:lang w:val="es-ES_tradnl"/>
        </w:rPr>
      </w:pPr>
    </w:p>
    <w:p w14:paraId="402869C8" w14:textId="306EECF8" w:rsidR="00FC42EE" w:rsidRDefault="00FC42EE" w:rsidP="00675D58">
      <w:pPr>
        <w:jc w:val="center"/>
        <w:rPr>
          <w:rFonts w:ascii="Book Antiqua" w:hAnsi="Book Antiqua"/>
          <w:b/>
          <w:sz w:val="52"/>
          <w:szCs w:val="52"/>
          <w:lang w:val="es-ES_tradnl"/>
        </w:rPr>
      </w:pPr>
      <w:r w:rsidRPr="00970FCB">
        <w:rPr>
          <w:rFonts w:ascii="Book Antiqua" w:hAnsi="Book Antiqua"/>
          <w:b/>
          <w:sz w:val="52"/>
          <w:szCs w:val="52"/>
          <w:lang w:val="es-ES_tradnl"/>
        </w:rPr>
        <w:t>R. de</w:t>
      </w:r>
      <w:r>
        <w:rPr>
          <w:rFonts w:ascii="Book Antiqua" w:hAnsi="Book Antiqua"/>
          <w:b/>
          <w:sz w:val="52"/>
          <w:szCs w:val="52"/>
          <w:lang w:val="es-ES_tradnl"/>
        </w:rPr>
        <w:t xml:space="preserve"> </w:t>
      </w:r>
      <w:r w:rsidRPr="00970FCB">
        <w:rPr>
          <w:rFonts w:ascii="Book Antiqua" w:hAnsi="Book Antiqua"/>
          <w:b/>
          <w:sz w:val="52"/>
          <w:szCs w:val="52"/>
          <w:lang w:val="es-ES_tradnl"/>
        </w:rPr>
        <w:t>l</w:t>
      </w:r>
      <w:r>
        <w:rPr>
          <w:rFonts w:ascii="Book Antiqua" w:hAnsi="Book Antiqua"/>
          <w:b/>
          <w:sz w:val="52"/>
          <w:szCs w:val="52"/>
          <w:lang w:val="es-ES_tradnl"/>
        </w:rPr>
        <w:t>a</w:t>
      </w:r>
      <w:r w:rsidRPr="00970FCB">
        <w:rPr>
          <w:rFonts w:ascii="Book Antiqua" w:hAnsi="Book Antiqua"/>
          <w:b/>
          <w:sz w:val="52"/>
          <w:szCs w:val="52"/>
          <w:lang w:val="es-ES_tradnl"/>
        </w:rPr>
        <w:t xml:space="preserve"> </w:t>
      </w:r>
      <w:r>
        <w:rPr>
          <w:rFonts w:ascii="Book Antiqua" w:hAnsi="Book Antiqua"/>
          <w:b/>
          <w:sz w:val="52"/>
          <w:szCs w:val="52"/>
          <w:lang w:val="es-ES_tradnl"/>
        </w:rPr>
        <w:t>C</w:t>
      </w:r>
      <w:r w:rsidRPr="00970FCB">
        <w:rPr>
          <w:rFonts w:ascii="Book Antiqua" w:hAnsi="Book Antiqua"/>
          <w:b/>
          <w:sz w:val="52"/>
          <w:szCs w:val="52"/>
          <w:lang w:val="es-ES_tradnl"/>
        </w:rPr>
        <w:t xml:space="preserve">. </w:t>
      </w:r>
      <w:r w:rsidR="00E650C8">
        <w:rPr>
          <w:rFonts w:ascii="Book Antiqua" w:hAnsi="Book Antiqua"/>
          <w:b/>
          <w:sz w:val="52"/>
          <w:szCs w:val="52"/>
          <w:lang w:val="es-ES_tradnl"/>
        </w:rPr>
        <w:t>686</w:t>
      </w:r>
    </w:p>
    <w:p w14:paraId="1EB3BA39" w14:textId="77777777" w:rsidR="00675D58" w:rsidRPr="00675D58" w:rsidRDefault="00675D58" w:rsidP="00675D58">
      <w:pPr>
        <w:jc w:val="center"/>
        <w:rPr>
          <w:rFonts w:ascii="Book Antiqua" w:hAnsi="Book Antiqua"/>
          <w:b/>
          <w:szCs w:val="24"/>
          <w:lang w:val="es-ES_tradnl"/>
        </w:rPr>
      </w:pPr>
    </w:p>
    <w:p w14:paraId="696EFC4A" w14:textId="4E6B6E22" w:rsidR="00FC42EE" w:rsidRDefault="00675D58" w:rsidP="00675D58">
      <w:pPr>
        <w:jc w:val="center"/>
        <w:rPr>
          <w:rFonts w:ascii="Book Antiqua" w:hAnsi="Book Antiqua"/>
          <w:szCs w:val="24"/>
          <w:lang w:val="es-ES_tradnl"/>
        </w:rPr>
      </w:pPr>
      <w:r w:rsidRPr="00970FCB">
        <w:rPr>
          <w:rFonts w:ascii="Book Antiqua" w:hAnsi="Book Antiqua"/>
          <w:lang w:val="es-ES_tradnl"/>
        </w:rPr>
        <w:t xml:space="preserve"> </w:t>
      </w:r>
      <w:r>
        <w:rPr>
          <w:rFonts w:ascii="Book Antiqua" w:hAnsi="Book Antiqua"/>
          <w:lang w:val="es-ES_tradnl"/>
        </w:rPr>
        <w:t>22</w:t>
      </w:r>
      <w:r w:rsidRPr="00970FCB">
        <w:rPr>
          <w:rFonts w:ascii="Book Antiqua" w:hAnsi="Book Antiqua"/>
          <w:lang w:val="es-ES_tradnl"/>
        </w:rPr>
        <w:t xml:space="preserve"> </w:t>
      </w:r>
      <w:r w:rsidRPr="00970FCB">
        <w:rPr>
          <w:rFonts w:ascii="Book Antiqua" w:hAnsi="Book Antiqua"/>
          <w:szCs w:val="24"/>
          <w:lang w:val="es-ES_tradnl"/>
        </w:rPr>
        <w:t>DE FEBRERO DE 202</w:t>
      </w:r>
      <w:r>
        <w:rPr>
          <w:rFonts w:ascii="Book Antiqua" w:hAnsi="Book Antiqua"/>
          <w:szCs w:val="24"/>
          <w:lang w:val="es-ES_tradnl"/>
        </w:rPr>
        <w:t>2</w:t>
      </w:r>
    </w:p>
    <w:p w14:paraId="6FFBDF17" w14:textId="77777777" w:rsidR="00675D58" w:rsidRPr="00970FCB" w:rsidRDefault="00675D58" w:rsidP="00675D58">
      <w:pPr>
        <w:jc w:val="center"/>
        <w:rPr>
          <w:rFonts w:ascii="Book Antiqua" w:hAnsi="Book Antiqua"/>
          <w:szCs w:val="24"/>
          <w:lang w:val="es-ES_tradnl"/>
        </w:rPr>
      </w:pPr>
    </w:p>
    <w:p w14:paraId="61D18C88" w14:textId="77777777" w:rsidR="00FC42EE" w:rsidRDefault="00FC42EE" w:rsidP="00675D58">
      <w:pPr>
        <w:jc w:val="center"/>
        <w:rPr>
          <w:rFonts w:ascii="Book Antiqua" w:hAnsi="Book Antiqua"/>
          <w:i/>
          <w:szCs w:val="24"/>
          <w:lang w:val="es-ES_tradnl"/>
        </w:rPr>
      </w:pPr>
      <w:r w:rsidRPr="00970FCB">
        <w:rPr>
          <w:rFonts w:ascii="Book Antiqua" w:hAnsi="Book Antiqua"/>
          <w:szCs w:val="24"/>
          <w:lang w:val="es-ES_tradnl"/>
        </w:rPr>
        <w:t xml:space="preserve">Presentada por </w:t>
      </w:r>
      <w:r w:rsidR="005A1336">
        <w:rPr>
          <w:rFonts w:ascii="Book Antiqua" w:hAnsi="Book Antiqua"/>
          <w:szCs w:val="24"/>
          <w:lang w:val="es-ES_tradnl"/>
        </w:rPr>
        <w:t>la</w:t>
      </w:r>
      <w:r>
        <w:rPr>
          <w:rFonts w:ascii="Book Antiqua" w:hAnsi="Book Antiqua"/>
          <w:szCs w:val="24"/>
          <w:lang w:val="es-ES_tradnl"/>
        </w:rPr>
        <w:t xml:space="preserve"> </w:t>
      </w:r>
      <w:r w:rsidR="00E35F9C" w:rsidRPr="00EE3B49">
        <w:rPr>
          <w:rFonts w:ascii="Book Antiqua" w:hAnsi="Book Antiqua"/>
          <w:iCs/>
          <w:szCs w:val="24"/>
          <w:lang w:val="es-ES_tradnl"/>
        </w:rPr>
        <w:t>representante</w:t>
      </w:r>
      <w:r w:rsidR="00E35F9C">
        <w:rPr>
          <w:rFonts w:ascii="Book Antiqua" w:hAnsi="Book Antiqua"/>
          <w:i/>
          <w:szCs w:val="24"/>
          <w:lang w:val="es-ES_tradnl"/>
        </w:rPr>
        <w:t xml:space="preserve"> </w:t>
      </w:r>
      <w:r w:rsidR="005A1336">
        <w:rPr>
          <w:rFonts w:ascii="Book Antiqua" w:hAnsi="Book Antiqua"/>
          <w:i/>
          <w:szCs w:val="24"/>
          <w:lang w:val="es-ES_tradnl"/>
        </w:rPr>
        <w:t>Ramos</w:t>
      </w:r>
      <w:r w:rsidR="00E35F9C">
        <w:rPr>
          <w:rFonts w:ascii="Book Antiqua" w:hAnsi="Book Antiqua"/>
          <w:i/>
          <w:szCs w:val="24"/>
          <w:lang w:val="es-ES_tradnl"/>
        </w:rPr>
        <w:t xml:space="preserve"> Rivera</w:t>
      </w:r>
    </w:p>
    <w:p w14:paraId="24FBEFBF" w14:textId="77777777" w:rsidR="00675D58" w:rsidRPr="00970FCB" w:rsidRDefault="00675D58" w:rsidP="00675D58">
      <w:pPr>
        <w:jc w:val="center"/>
        <w:rPr>
          <w:rFonts w:ascii="Book Antiqua" w:hAnsi="Book Antiqua"/>
          <w:szCs w:val="24"/>
          <w:lang w:val="es-ES_tradnl"/>
        </w:rPr>
      </w:pPr>
    </w:p>
    <w:p w14:paraId="3F091B97" w14:textId="378F40D3" w:rsidR="00FC42EE" w:rsidRPr="00970FCB" w:rsidRDefault="00FC42EE" w:rsidP="00675D58">
      <w:pPr>
        <w:jc w:val="center"/>
        <w:rPr>
          <w:rFonts w:ascii="Book Antiqua" w:hAnsi="Book Antiqua"/>
          <w:szCs w:val="24"/>
          <w:lang w:val="es-ES_tradnl"/>
        </w:rPr>
      </w:pPr>
      <w:r w:rsidRPr="00970FCB">
        <w:rPr>
          <w:rFonts w:ascii="Book Antiqua" w:hAnsi="Book Antiqua"/>
          <w:szCs w:val="24"/>
          <w:lang w:val="es-ES_tradnl"/>
        </w:rPr>
        <w:t xml:space="preserve">Referida a </w:t>
      </w:r>
      <w:r w:rsidR="00675D58">
        <w:rPr>
          <w:rFonts w:ascii="Book Antiqua" w:hAnsi="Book Antiqua"/>
          <w:szCs w:val="24"/>
          <w:lang w:val="es-ES_tradnl"/>
        </w:rPr>
        <w:t>la Comisión de Asuntos Internos</w:t>
      </w:r>
    </w:p>
    <w:p w14:paraId="5B74560E" w14:textId="77777777" w:rsidR="00FC42EE" w:rsidRPr="00970FCB" w:rsidRDefault="00FC42EE" w:rsidP="00675D58">
      <w:pPr>
        <w:jc w:val="both"/>
        <w:rPr>
          <w:rFonts w:ascii="Book Antiqua" w:hAnsi="Book Antiqua"/>
          <w:szCs w:val="24"/>
          <w:lang w:val="es-ES_tradnl"/>
        </w:rPr>
      </w:pPr>
    </w:p>
    <w:p w14:paraId="19164E00" w14:textId="77777777" w:rsidR="00FC42EE" w:rsidRPr="00675D58" w:rsidRDefault="00FC42EE" w:rsidP="00675D58">
      <w:pPr>
        <w:jc w:val="center"/>
        <w:rPr>
          <w:rFonts w:ascii="Book Antiqua" w:hAnsi="Book Antiqua"/>
          <w:b/>
          <w:sz w:val="28"/>
          <w:szCs w:val="24"/>
          <w:lang w:val="es-ES_tradnl"/>
        </w:rPr>
      </w:pPr>
      <w:r w:rsidRPr="00675D58">
        <w:rPr>
          <w:rFonts w:ascii="Book Antiqua" w:hAnsi="Book Antiqua"/>
          <w:b/>
          <w:sz w:val="28"/>
          <w:szCs w:val="24"/>
          <w:lang w:val="es-ES_tradnl"/>
        </w:rPr>
        <w:t>RESOLUCIÓN</w:t>
      </w:r>
    </w:p>
    <w:p w14:paraId="07BB1398" w14:textId="77777777" w:rsidR="00FC42EE" w:rsidRPr="00970FCB" w:rsidRDefault="00FC42EE" w:rsidP="00675D58">
      <w:pPr>
        <w:jc w:val="both"/>
        <w:rPr>
          <w:rFonts w:ascii="Book Antiqua" w:hAnsi="Book Antiqua"/>
          <w:szCs w:val="24"/>
          <w:lang w:val="es-ES_tradnl"/>
        </w:rPr>
      </w:pPr>
    </w:p>
    <w:p w14:paraId="2EEB6D89" w14:textId="77777777" w:rsidR="00A7644F" w:rsidRDefault="00FC42EE" w:rsidP="00675D58">
      <w:pPr>
        <w:ind w:left="540" w:hanging="540"/>
        <w:jc w:val="both"/>
        <w:rPr>
          <w:rFonts w:ascii="Book Antiqua" w:hAnsi="Book Antiqua"/>
          <w:szCs w:val="24"/>
          <w:lang w:val="es-ES_tradnl"/>
        </w:rPr>
      </w:pPr>
      <w:r w:rsidRPr="00542CBA">
        <w:rPr>
          <w:rFonts w:ascii="Book Antiqua" w:hAnsi="Book Antiqua"/>
          <w:szCs w:val="24"/>
          <w:lang w:val="es-ES_tradnl"/>
        </w:rPr>
        <w:t xml:space="preserve">Para ordenar a </w:t>
      </w:r>
      <w:r w:rsidR="005A1336" w:rsidRPr="00542CBA">
        <w:rPr>
          <w:rFonts w:ascii="Book Antiqua" w:hAnsi="Book Antiqua"/>
          <w:szCs w:val="24"/>
          <w:lang w:val="es-ES_tradnl"/>
        </w:rPr>
        <w:t xml:space="preserve">la </w:t>
      </w:r>
      <w:r w:rsidR="00542CBA" w:rsidRPr="00542CBA">
        <w:rPr>
          <w:rFonts w:ascii="Book Antiqua" w:hAnsi="Book Antiqua"/>
          <w:lang w:val="es-PR"/>
        </w:rPr>
        <w:t xml:space="preserve">Comisión de </w:t>
      </w:r>
      <w:r w:rsidR="00542CBA">
        <w:rPr>
          <w:rFonts w:ascii="Book Antiqua" w:hAnsi="Book Antiqua"/>
          <w:lang w:val="es-PR"/>
        </w:rPr>
        <w:t xml:space="preserve">Asuntos </w:t>
      </w:r>
      <w:r w:rsidR="00542CBA" w:rsidRPr="00542CBA">
        <w:rPr>
          <w:rFonts w:ascii="Book Antiqua" w:hAnsi="Book Antiqua"/>
          <w:lang w:val="es-PR"/>
        </w:rPr>
        <w:t>Laboral</w:t>
      </w:r>
      <w:r w:rsidR="00542CBA">
        <w:rPr>
          <w:rFonts w:ascii="Book Antiqua" w:hAnsi="Book Antiqua"/>
          <w:lang w:val="es-PR"/>
        </w:rPr>
        <w:t>es y Transformación del Sistema de Pensiones para un Retiro Digno</w:t>
      </w:r>
      <w:r w:rsidR="00542CBA" w:rsidRPr="00542CBA">
        <w:rPr>
          <w:rFonts w:ascii="Book Antiqua" w:hAnsi="Book Antiqua"/>
          <w:lang w:val="es-PR"/>
        </w:rPr>
        <w:t xml:space="preserve"> </w:t>
      </w:r>
      <w:r w:rsidR="00542CBA">
        <w:rPr>
          <w:rFonts w:ascii="Book Antiqua" w:hAnsi="Book Antiqua"/>
          <w:lang w:val="es-PR"/>
        </w:rPr>
        <w:t xml:space="preserve">de la Cámara de Representantes de Puerto Rico, </w:t>
      </w:r>
      <w:r w:rsidR="00542CBA" w:rsidRPr="00542CBA">
        <w:rPr>
          <w:rFonts w:ascii="Book Antiqua" w:hAnsi="Book Antiqua"/>
          <w:szCs w:val="24"/>
          <w:lang w:val="es-PR"/>
        </w:rPr>
        <w:t xml:space="preserve">realizar una investigación </w:t>
      </w:r>
      <w:r w:rsidR="00542CBA">
        <w:rPr>
          <w:rFonts w:ascii="Book Antiqua" w:hAnsi="Book Antiqua"/>
          <w:szCs w:val="24"/>
          <w:lang w:val="es-PR"/>
        </w:rPr>
        <w:t xml:space="preserve">exhaustiva y ordenar la comparecencia de la </w:t>
      </w:r>
      <w:r w:rsidR="005A1336" w:rsidRPr="00542CBA">
        <w:rPr>
          <w:rFonts w:ascii="Book Antiqua" w:hAnsi="Book Antiqua"/>
          <w:szCs w:val="24"/>
          <w:lang w:val="es-ES_tradnl"/>
        </w:rPr>
        <w:t>Junta de Gobierno de la Universidad de</w:t>
      </w:r>
      <w:r w:rsidR="005A1336">
        <w:rPr>
          <w:rFonts w:ascii="Book Antiqua" w:hAnsi="Book Antiqua"/>
          <w:szCs w:val="24"/>
          <w:lang w:val="es-ES_tradnl"/>
        </w:rPr>
        <w:t xml:space="preserve"> Puerto Rico</w:t>
      </w:r>
      <w:r w:rsidR="00CB07BD">
        <w:rPr>
          <w:rFonts w:ascii="Book Antiqua" w:hAnsi="Book Antiqua"/>
          <w:szCs w:val="24"/>
          <w:lang w:val="es-ES_tradnl"/>
        </w:rPr>
        <w:t xml:space="preserve">, con el fin de </w:t>
      </w:r>
      <w:r w:rsidR="00114D0F">
        <w:rPr>
          <w:rFonts w:ascii="Book Antiqua" w:hAnsi="Book Antiqua"/>
          <w:szCs w:val="24"/>
          <w:lang w:val="es-ES_tradnl"/>
        </w:rPr>
        <w:t xml:space="preserve">explicar, </w:t>
      </w:r>
      <w:r w:rsidR="00CB07BD">
        <w:rPr>
          <w:rFonts w:ascii="Book Antiqua" w:hAnsi="Book Antiqua"/>
          <w:szCs w:val="24"/>
          <w:lang w:val="es-ES_tradnl"/>
        </w:rPr>
        <w:t>detallar</w:t>
      </w:r>
      <w:r w:rsidR="00114D0F">
        <w:rPr>
          <w:rFonts w:ascii="Book Antiqua" w:hAnsi="Book Antiqua"/>
          <w:szCs w:val="24"/>
          <w:lang w:val="es-ES_tradnl"/>
        </w:rPr>
        <w:t xml:space="preserve"> y producir </w:t>
      </w:r>
      <w:r w:rsidR="00761EE6">
        <w:rPr>
          <w:rFonts w:ascii="Book Antiqua" w:hAnsi="Book Antiqua"/>
          <w:szCs w:val="24"/>
          <w:lang w:val="es-ES_tradnl"/>
        </w:rPr>
        <w:t xml:space="preserve">todos </w:t>
      </w:r>
      <w:r w:rsidR="00114D0F">
        <w:rPr>
          <w:rFonts w:ascii="Book Antiqua" w:hAnsi="Book Antiqua"/>
          <w:szCs w:val="24"/>
          <w:lang w:val="es-ES_tradnl"/>
        </w:rPr>
        <w:t>los documentos relacionados con</w:t>
      </w:r>
      <w:r w:rsidR="00CB07BD">
        <w:rPr>
          <w:rFonts w:ascii="Book Antiqua" w:hAnsi="Book Antiqua"/>
          <w:szCs w:val="24"/>
          <w:lang w:val="es-ES_tradnl"/>
        </w:rPr>
        <w:t xml:space="preserve"> gastos incurridos en actividades extracurriculares</w:t>
      </w:r>
      <w:r w:rsidR="00761EE6">
        <w:rPr>
          <w:rFonts w:ascii="Book Antiqua" w:hAnsi="Book Antiqua"/>
          <w:szCs w:val="24"/>
          <w:lang w:val="es-ES_tradnl"/>
        </w:rPr>
        <w:t>,</w:t>
      </w:r>
      <w:r w:rsidR="00114D0F">
        <w:rPr>
          <w:rFonts w:ascii="Book Antiqua" w:hAnsi="Book Antiqua"/>
          <w:szCs w:val="24"/>
          <w:lang w:val="es-ES_tradnl"/>
        </w:rPr>
        <w:t xml:space="preserve"> </w:t>
      </w:r>
      <w:r w:rsidR="00A7644F">
        <w:rPr>
          <w:rFonts w:ascii="Book Antiqua" w:hAnsi="Book Antiqua"/>
          <w:szCs w:val="24"/>
          <w:lang w:val="es-ES_tradnl"/>
        </w:rPr>
        <w:t>“gastos alegres”</w:t>
      </w:r>
      <w:r w:rsidR="00761EE6">
        <w:rPr>
          <w:rFonts w:ascii="Book Antiqua" w:hAnsi="Book Antiqua"/>
          <w:szCs w:val="24"/>
          <w:lang w:val="es-ES_tradnl"/>
        </w:rPr>
        <w:t>,</w:t>
      </w:r>
      <w:r w:rsidR="00A7644F">
        <w:rPr>
          <w:rFonts w:ascii="Book Antiqua" w:hAnsi="Book Antiqua"/>
          <w:szCs w:val="24"/>
          <w:lang w:val="es-ES_tradnl"/>
        </w:rPr>
        <w:t xml:space="preserve"> </w:t>
      </w:r>
      <w:r w:rsidR="00114D0F">
        <w:rPr>
          <w:rFonts w:ascii="Book Antiqua" w:hAnsi="Book Antiqua"/>
          <w:szCs w:val="24"/>
          <w:lang w:val="es-ES_tradnl"/>
        </w:rPr>
        <w:t>durante los años 2021-2022</w:t>
      </w:r>
      <w:r w:rsidR="00761EE6">
        <w:rPr>
          <w:rFonts w:ascii="Book Antiqua" w:hAnsi="Book Antiqua"/>
          <w:szCs w:val="24"/>
          <w:lang w:val="es-ES_tradnl"/>
        </w:rPr>
        <w:t xml:space="preserve">; </w:t>
      </w:r>
      <w:r w:rsidR="00FA389C">
        <w:rPr>
          <w:rFonts w:ascii="Book Antiqua" w:hAnsi="Book Antiqua"/>
          <w:szCs w:val="24"/>
          <w:lang w:val="es-ES_tradnl"/>
        </w:rPr>
        <w:t xml:space="preserve">y </w:t>
      </w:r>
      <w:r w:rsidR="00114D0F">
        <w:rPr>
          <w:rFonts w:ascii="Book Antiqua" w:hAnsi="Book Antiqua"/>
          <w:szCs w:val="24"/>
          <w:lang w:val="es-ES_tradnl"/>
        </w:rPr>
        <w:t xml:space="preserve">exigir el cumplimiento de la Resolución del caso </w:t>
      </w:r>
      <w:r w:rsidR="00114D0F" w:rsidRPr="00A7644F">
        <w:rPr>
          <w:rFonts w:ascii="Book Antiqua" w:hAnsi="Book Antiqua"/>
          <w:i/>
          <w:szCs w:val="24"/>
          <w:lang w:val="es-ES_tradnl"/>
        </w:rPr>
        <w:t>Junta de Retiro de la UPR v. Junta de Gobierno de la UPR</w:t>
      </w:r>
      <w:r w:rsidR="00114D0F">
        <w:rPr>
          <w:rFonts w:ascii="Book Antiqua" w:hAnsi="Book Antiqua"/>
          <w:szCs w:val="24"/>
          <w:lang w:val="es-ES_tradnl"/>
        </w:rPr>
        <w:t xml:space="preserve">, </w:t>
      </w:r>
      <w:r w:rsidR="00114D0F" w:rsidRPr="00114D0F">
        <w:rPr>
          <w:rFonts w:ascii="Book Antiqua" w:hAnsi="Book Antiqua"/>
          <w:szCs w:val="24"/>
          <w:lang w:val="es-ES_tradnl"/>
        </w:rPr>
        <w:t>KLAN201900304 CONS. CON KLCE201900366</w:t>
      </w:r>
      <w:r w:rsidR="00114D0F">
        <w:rPr>
          <w:rFonts w:ascii="Book Antiqua" w:hAnsi="Book Antiqua"/>
          <w:szCs w:val="24"/>
          <w:lang w:val="es-ES_tradnl"/>
        </w:rPr>
        <w:t>, 2020 PR App. LEXIS 1688</w:t>
      </w:r>
      <w:r w:rsidR="00A7644F">
        <w:rPr>
          <w:rFonts w:ascii="Book Antiqua" w:hAnsi="Book Antiqua"/>
          <w:szCs w:val="24"/>
          <w:lang w:val="es-ES_tradnl"/>
        </w:rPr>
        <w:t xml:space="preserve"> (</w:t>
      </w:r>
      <w:r w:rsidR="00FA389C">
        <w:rPr>
          <w:rFonts w:ascii="Book Antiqua" w:hAnsi="Book Antiqua"/>
          <w:szCs w:val="24"/>
          <w:lang w:val="es-ES_tradnl"/>
        </w:rPr>
        <w:t>TA PR 30 de septiembre de 2020), a fin de evaluar las determinaciones de la Junta de Gobierno en torno a la usurpación de sus facultades de fiducia, deberes que le competen y fueron traspasados a la Junta de Retiro por la citada Resolución.</w:t>
      </w:r>
    </w:p>
    <w:p w14:paraId="18D5E6E8" w14:textId="77777777" w:rsidR="00A7644F" w:rsidRDefault="00A7644F" w:rsidP="00675D58">
      <w:pPr>
        <w:ind w:left="540" w:hanging="540"/>
        <w:jc w:val="both"/>
        <w:rPr>
          <w:rFonts w:ascii="Book Antiqua" w:hAnsi="Book Antiqua"/>
          <w:szCs w:val="24"/>
          <w:lang w:val="es-ES_tradnl"/>
        </w:rPr>
      </w:pPr>
    </w:p>
    <w:p w14:paraId="6108065B" w14:textId="49E76D30" w:rsidR="00FC42EE" w:rsidRPr="00675D58" w:rsidRDefault="00A7644F" w:rsidP="00675D58">
      <w:pPr>
        <w:ind w:left="540" w:hanging="540"/>
        <w:jc w:val="center"/>
        <w:rPr>
          <w:rFonts w:ascii="Book Antiqua" w:hAnsi="Book Antiqua"/>
          <w:szCs w:val="24"/>
          <w:lang w:val="es-ES_tradnl"/>
        </w:rPr>
      </w:pPr>
      <w:r w:rsidRPr="00675D58">
        <w:rPr>
          <w:rFonts w:ascii="Book Antiqua" w:hAnsi="Book Antiqua"/>
          <w:szCs w:val="24"/>
          <w:lang w:val="es-ES_tradnl"/>
        </w:rPr>
        <w:t>E</w:t>
      </w:r>
      <w:r w:rsidR="00FC42EE" w:rsidRPr="00675D58">
        <w:rPr>
          <w:rFonts w:ascii="Book Antiqua" w:hAnsi="Book Antiqua"/>
          <w:szCs w:val="24"/>
          <w:lang w:val="es-ES_tradnl"/>
        </w:rPr>
        <w:t>XPOSICIÓN DE MOTIVOS</w:t>
      </w:r>
    </w:p>
    <w:p w14:paraId="4E54A433" w14:textId="77777777" w:rsidR="00EE3B49" w:rsidRPr="005A1336" w:rsidRDefault="00EE3B49" w:rsidP="00675D58">
      <w:pPr>
        <w:ind w:left="540" w:hanging="540"/>
        <w:jc w:val="center"/>
        <w:rPr>
          <w:rFonts w:ascii="Book Antiqua" w:hAnsi="Book Antiqua"/>
          <w:b/>
          <w:szCs w:val="24"/>
          <w:lang w:val="es-ES_tradnl"/>
        </w:rPr>
      </w:pPr>
    </w:p>
    <w:p w14:paraId="0BE8B41E" w14:textId="6328B0FB" w:rsidR="00704181" w:rsidRDefault="00CB07BD" w:rsidP="00675D58">
      <w:pPr>
        <w:ind w:firstLine="540"/>
        <w:jc w:val="both"/>
        <w:rPr>
          <w:rFonts w:ascii="Book Antiqua" w:hAnsi="Book Antiqua"/>
          <w:szCs w:val="24"/>
          <w:lang w:val="es-ES_tradnl"/>
        </w:rPr>
      </w:pPr>
      <w:r w:rsidRPr="00CB07BD">
        <w:rPr>
          <w:rFonts w:ascii="Book Antiqua" w:hAnsi="Book Antiqua"/>
          <w:szCs w:val="24"/>
          <w:lang w:val="es-ES_tradnl"/>
        </w:rPr>
        <w:t>El poder parlamentario de investigar</w:t>
      </w:r>
      <w:r w:rsidR="00BD506D">
        <w:rPr>
          <w:rFonts w:ascii="Book Antiqua" w:hAnsi="Book Antiqua"/>
          <w:szCs w:val="24"/>
          <w:lang w:val="es-ES_tradnl"/>
        </w:rPr>
        <w:t xml:space="preserve"> </w:t>
      </w:r>
      <w:r w:rsidRPr="00CB07BD">
        <w:rPr>
          <w:rFonts w:ascii="Book Antiqua" w:hAnsi="Book Antiqua"/>
          <w:szCs w:val="24"/>
          <w:lang w:val="es-ES_tradnl"/>
        </w:rPr>
        <w:t xml:space="preserve">es inherente a la creación de la Rama Legislativa.  </w:t>
      </w:r>
      <w:r w:rsidR="00D14EA8">
        <w:rPr>
          <w:rFonts w:ascii="Book Antiqua" w:hAnsi="Book Antiqua"/>
          <w:szCs w:val="24"/>
          <w:lang w:val="es-ES_tradnl"/>
        </w:rPr>
        <w:t xml:space="preserve">Esta </w:t>
      </w:r>
      <w:r w:rsidR="000F484B">
        <w:rPr>
          <w:rFonts w:ascii="Book Antiqua" w:hAnsi="Book Antiqua"/>
          <w:szCs w:val="24"/>
          <w:lang w:val="es-ES_tradnl"/>
        </w:rPr>
        <w:t>autoridad</w:t>
      </w:r>
      <w:r w:rsidR="00D14EA8">
        <w:rPr>
          <w:rFonts w:ascii="Book Antiqua" w:hAnsi="Book Antiqua"/>
          <w:szCs w:val="24"/>
          <w:lang w:val="es-ES_tradnl"/>
        </w:rPr>
        <w:t xml:space="preserve"> </w:t>
      </w:r>
      <w:r w:rsidR="000F484B">
        <w:rPr>
          <w:rFonts w:ascii="Book Antiqua" w:hAnsi="Book Antiqua"/>
          <w:szCs w:val="24"/>
          <w:lang w:val="es-ES_tradnl"/>
        </w:rPr>
        <w:t>está consignada</w:t>
      </w:r>
      <w:r w:rsidRPr="00CB07BD">
        <w:rPr>
          <w:rFonts w:ascii="Book Antiqua" w:hAnsi="Book Antiqua"/>
          <w:szCs w:val="24"/>
          <w:lang w:val="es-ES_tradnl"/>
        </w:rPr>
        <w:t xml:space="preserve"> en las Secciones 1 y 17 del Artículo III de</w:t>
      </w:r>
      <w:r w:rsidR="00F43D21">
        <w:rPr>
          <w:rFonts w:ascii="Book Antiqua" w:hAnsi="Book Antiqua"/>
          <w:szCs w:val="24"/>
          <w:lang w:val="es-ES_tradnl"/>
        </w:rPr>
        <w:t xml:space="preserve"> nuestra Constitución</w:t>
      </w:r>
      <w:r w:rsidR="00BC00F1">
        <w:rPr>
          <w:rFonts w:ascii="Book Antiqua" w:hAnsi="Book Antiqua"/>
          <w:szCs w:val="24"/>
          <w:lang w:val="es-ES_tradnl"/>
        </w:rPr>
        <w:t>.</w:t>
      </w:r>
      <w:r w:rsidR="00D14EA8">
        <w:rPr>
          <w:rStyle w:val="FootnoteReference"/>
          <w:rFonts w:ascii="Book Antiqua" w:hAnsi="Book Antiqua"/>
          <w:szCs w:val="24"/>
          <w:lang w:val="es-ES_tradnl"/>
        </w:rPr>
        <w:footnoteReference w:id="1"/>
      </w:r>
      <w:r w:rsidR="00BC00F1">
        <w:rPr>
          <w:rFonts w:ascii="Book Antiqua" w:hAnsi="Book Antiqua"/>
          <w:szCs w:val="24"/>
          <w:lang w:val="es-ES_tradnl"/>
        </w:rPr>
        <w:t xml:space="preserve"> </w:t>
      </w:r>
      <w:r w:rsidR="00D14EA8">
        <w:rPr>
          <w:rFonts w:ascii="Book Antiqua" w:hAnsi="Book Antiqua"/>
          <w:szCs w:val="24"/>
          <w:lang w:val="es-ES_tradnl"/>
        </w:rPr>
        <w:t>L</w:t>
      </w:r>
      <w:r w:rsidR="00BC00F1">
        <w:rPr>
          <w:rFonts w:ascii="Book Antiqua" w:hAnsi="Book Antiqua"/>
          <w:szCs w:val="24"/>
          <w:lang w:val="es-ES_tradnl"/>
        </w:rPr>
        <w:t>a</w:t>
      </w:r>
      <w:r w:rsidRPr="00CB07BD">
        <w:rPr>
          <w:rFonts w:ascii="Book Antiqua" w:hAnsi="Book Antiqua"/>
          <w:szCs w:val="24"/>
          <w:lang w:val="es-ES_tradnl"/>
        </w:rPr>
        <w:t xml:space="preserve"> facultad de los parlamentos modernos en el proceso guber</w:t>
      </w:r>
      <w:r w:rsidR="00BC00F1">
        <w:rPr>
          <w:rFonts w:ascii="Book Antiqua" w:hAnsi="Book Antiqua"/>
          <w:szCs w:val="24"/>
          <w:lang w:val="es-ES_tradnl"/>
        </w:rPr>
        <w:t>nativo es amplia y abarcadora</w:t>
      </w:r>
      <w:r w:rsidR="000F484B">
        <w:rPr>
          <w:rFonts w:ascii="Book Antiqua" w:hAnsi="Book Antiqua"/>
          <w:szCs w:val="24"/>
          <w:lang w:val="es-ES_tradnl"/>
        </w:rPr>
        <w:t xml:space="preserve"> y ante </w:t>
      </w:r>
      <w:r w:rsidR="00D14EA8">
        <w:rPr>
          <w:rFonts w:ascii="Book Antiqua" w:hAnsi="Book Antiqua"/>
          <w:szCs w:val="24"/>
          <w:lang w:val="es-ES_tradnl"/>
        </w:rPr>
        <w:t>ello</w:t>
      </w:r>
      <w:r w:rsidR="000F484B">
        <w:rPr>
          <w:rFonts w:ascii="Book Antiqua" w:hAnsi="Book Antiqua"/>
          <w:szCs w:val="24"/>
          <w:lang w:val="es-ES_tradnl"/>
        </w:rPr>
        <w:t>,</w:t>
      </w:r>
      <w:r w:rsidR="00D14EA8">
        <w:rPr>
          <w:rFonts w:ascii="Book Antiqua" w:hAnsi="Book Antiqua"/>
          <w:szCs w:val="24"/>
          <w:lang w:val="es-ES_tradnl"/>
        </w:rPr>
        <w:t xml:space="preserve"> </w:t>
      </w:r>
      <w:r w:rsidR="000F484B">
        <w:rPr>
          <w:rFonts w:ascii="Book Antiqua" w:hAnsi="Book Antiqua"/>
          <w:szCs w:val="24"/>
          <w:lang w:val="es-ES_tradnl"/>
        </w:rPr>
        <w:t xml:space="preserve">la Asamblea Legislativa ha </w:t>
      </w:r>
      <w:r w:rsidR="000F484B" w:rsidRPr="00CB07BD">
        <w:rPr>
          <w:rFonts w:ascii="Book Antiqua" w:hAnsi="Book Antiqua"/>
          <w:szCs w:val="24"/>
          <w:lang w:val="es-ES_tradnl"/>
        </w:rPr>
        <w:t>recurrido a su poder de investigación</w:t>
      </w:r>
      <w:r w:rsidR="000F484B">
        <w:rPr>
          <w:rFonts w:ascii="Book Antiqua" w:hAnsi="Book Antiqua"/>
          <w:szCs w:val="24"/>
          <w:lang w:val="es-ES_tradnl"/>
        </w:rPr>
        <w:t xml:space="preserve"> para</w:t>
      </w:r>
      <w:r w:rsidR="00D14EA8">
        <w:rPr>
          <w:rFonts w:ascii="Book Antiqua" w:hAnsi="Book Antiqua"/>
          <w:szCs w:val="24"/>
          <w:lang w:val="es-ES_tradnl"/>
        </w:rPr>
        <w:t xml:space="preserve"> d</w:t>
      </w:r>
      <w:r w:rsidRPr="00CB07BD">
        <w:rPr>
          <w:rFonts w:ascii="Book Antiqua" w:hAnsi="Book Antiqua"/>
          <w:szCs w:val="24"/>
          <w:lang w:val="es-ES_tradnl"/>
        </w:rPr>
        <w:t>esem</w:t>
      </w:r>
      <w:r w:rsidR="00E35F9C">
        <w:rPr>
          <w:rFonts w:ascii="Book Antiqua" w:hAnsi="Book Antiqua"/>
          <w:szCs w:val="24"/>
          <w:lang w:val="es-ES_tradnl"/>
        </w:rPr>
        <w:t>peñar efica</w:t>
      </w:r>
      <w:r w:rsidR="000F484B">
        <w:rPr>
          <w:rFonts w:ascii="Book Antiqua" w:hAnsi="Book Antiqua"/>
          <w:szCs w:val="24"/>
          <w:lang w:val="es-ES_tradnl"/>
        </w:rPr>
        <w:t>zmente sus funciones.</w:t>
      </w:r>
      <w:r w:rsidR="00D14EA8">
        <w:rPr>
          <w:rStyle w:val="FootnoteReference"/>
          <w:rFonts w:ascii="Book Antiqua" w:hAnsi="Book Antiqua"/>
          <w:szCs w:val="24"/>
          <w:lang w:val="es-ES_tradnl"/>
        </w:rPr>
        <w:footnoteReference w:id="2"/>
      </w:r>
      <w:r w:rsidR="00D14EA8">
        <w:rPr>
          <w:rFonts w:ascii="Book Antiqua" w:hAnsi="Book Antiqua"/>
          <w:szCs w:val="24"/>
          <w:lang w:val="es-ES_tradnl"/>
        </w:rPr>
        <w:t xml:space="preserve"> El Tribunal Supremo de Puerto Rico </w:t>
      </w:r>
      <w:r w:rsidR="000F484B">
        <w:rPr>
          <w:rFonts w:ascii="Book Antiqua" w:hAnsi="Book Antiqua"/>
          <w:szCs w:val="24"/>
          <w:lang w:val="es-ES_tradnl"/>
        </w:rPr>
        <w:t>ha reconocido que</w:t>
      </w:r>
      <w:r w:rsidRPr="00CB07BD">
        <w:rPr>
          <w:rFonts w:ascii="Book Antiqua" w:hAnsi="Book Antiqua"/>
          <w:szCs w:val="24"/>
          <w:lang w:val="es-ES_tradnl"/>
        </w:rPr>
        <w:t xml:space="preserve"> “[d]</w:t>
      </w:r>
      <w:proofErr w:type="spellStart"/>
      <w:r w:rsidRPr="00CB07BD">
        <w:rPr>
          <w:rFonts w:ascii="Book Antiqua" w:hAnsi="Book Antiqua"/>
          <w:szCs w:val="24"/>
          <w:lang w:val="es-ES_tradnl"/>
        </w:rPr>
        <w:t>esde</w:t>
      </w:r>
      <w:proofErr w:type="spellEnd"/>
      <w:r w:rsidRPr="00CB07BD">
        <w:rPr>
          <w:rFonts w:ascii="Book Antiqua" w:hAnsi="Book Antiqua"/>
          <w:szCs w:val="24"/>
          <w:lang w:val="es-ES_tradnl"/>
        </w:rPr>
        <w:t xml:space="preserve"> tiempo inmemorial, el poder de la rama legislativa del gobierno para practicar investigaciones en apoyo [a] sus funciones legislativas, nunca ha sido atacado con éxito. El negarle a la legislatura poderes para </w:t>
      </w:r>
      <w:r w:rsidRPr="00CB07BD">
        <w:rPr>
          <w:rFonts w:ascii="Book Antiqua" w:hAnsi="Book Antiqua"/>
          <w:szCs w:val="24"/>
          <w:lang w:val="es-ES_tradnl"/>
        </w:rPr>
        <w:lastRenderedPageBreak/>
        <w:t>compenetrarse de los hechos, equivale a exigirle que proporcione el remedio en la oscuridad.”</w:t>
      </w:r>
      <w:r w:rsidR="00D14EA8">
        <w:rPr>
          <w:rStyle w:val="FootnoteReference"/>
          <w:rFonts w:ascii="Book Antiqua" w:hAnsi="Book Antiqua"/>
          <w:szCs w:val="24"/>
          <w:lang w:val="es-ES_tradnl"/>
        </w:rPr>
        <w:footnoteReference w:id="3"/>
      </w:r>
      <w:r w:rsidRPr="00CB07BD">
        <w:rPr>
          <w:rFonts w:ascii="Book Antiqua" w:hAnsi="Book Antiqua"/>
          <w:szCs w:val="24"/>
          <w:lang w:val="es-ES_tradnl"/>
        </w:rPr>
        <w:t xml:space="preserve"> </w:t>
      </w:r>
    </w:p>
    <w:p w14:paraId="2B1A8273" w14:textId="77777777" w:rsidR="00EE3B49" w:rsidRDefault="00EE3B49" w:rsidP="00675D58">
      <w:pPr>
        <w:ind w:firstLine="540"/>
        <w:jc w:val="both"/>
        <w:rPr>
          <w:rFonts w:ascii="Book Antiqua" w:hAnsi="Book Antiqua"/>
          <w:szCs w:val="24"/>
          <w:lang w:val="es-ES_tradnl"/>
        </w:rPr>
      </w:pPr>
    </w:p>
    <w:p w14:paraId="79529B51" w14:textId="2F7C1285" w:rsidR="001F3ACA" w:rsidRDefault="001F3ACA" w:rsidP="00675D58">
      <w:pPr>
        <w:ind w:firstLine="540"/>
        <w:jc w:val="both"/>
        <w:rPr>
          <w:rFonts w:ascii="Book Antiqua" w:hAnsi="Book Antiqua"/>
          <w:szCs w:val="24"/>
          <w:lang w:val="es-ES_tradnl"/>
        </w:rPr>
      </w:pPr>
      <w:r>
        <w:rPr>
          <w:rFonts w:ascii="Book Antiqua" w:hAnsi="Book Antiqua"/>
          <w:szCs w:val="24"/>
          <w:lang w:val="es-ES_tradnl"/>
        </w:rPr>
        <w:t xml:space="preserve">Desde que se estableció nuestra carta Magna, </w:t>
      </w:r>
      <w:r w:rsidR="00CB07BD" w:rsidRPr="00CB07BD">
        <w:rPr>
          <w:rFonts w:ascii="Book Antiqua" w:hAnsi="Book Antiqua"/>
          <w:szCs w:val="24"/>
          <w:lang w:val="es-ES_tradnl"/>
        </w:rPr>
        <w:t>el poder de investigación de la Rama Legislativa se consideraba</w:t>
      </w:r>
      <w:r w:rsidR="00CB07BD" w:rsidRPr="000F484B">
        <w:rPr>
          <w:rFonts w:ascii="Book Antiqua" w:hAnsi="Book Antiqua"/>
          <w:szCs w:val="24"/>
          <w:lang w:val="es-ES_tradnl"/>
        </w:rPr>
        <w:t>: (1)</w:t>
      </w:r>
      <w:r w:rsidRPr="000F484B">
        <w:rPr>
          <w:rFonts w:ascii="Book Antiqua" w:hAnsi="Book Antiqua"/>
          <w:szCs w:val="24"/>
          <w:lang w:val="es-ES_tradnl"/>
        </w:rPr>
        <w:t xml:space="preserve"> </w:t>
      </w:r>
      <w:r w:rsidR="00CB07BD" w:rsidRPr="000F484B">
        <w:rPr>
          <w:rFonts w:ascii="Book Antiqua" w:hAnsi="Book Antiqua"/>
          <w:szCs w:val="24"/>
          <w:lang w:val="es-ES_tradnl"/>
        </w:rPr>
        <w:t xml:space="preserve">extraordinariamente amplio, </w:t>
      </w:r>
      <w:r w:rsidR="000F484B" w:rsidRPr="000F484B">
        <w:rPr>
          <w:rFonts w:ascii="Book Antiqua" w:hAnsi="Book Antiqua"/>
          <w:szCs w:val="24"/>
          <w:lang w:val="es-ES_tradnl"/>
        </w:rPr>
        <w:t>en particular cua</w:t>
      </w:r>
      <w:r w:rsidR="00CB07BD" w:rsidRPr="000F484B">
        <w:rPr>
          <w:rFonts w:ascii="Book Antiqua" w:hAnsi="Book Antiqua"/>
          <w:szCs w:val="24"/>
          <w:lang w:val="es-ES_tradnl"/>
        </w:rPr>
        <w:t>ndo el objeto de investigación es una agencia o un funcionario público, distinto al caso de un ciudadano partic</w:t>
      </w:r>
      <w:r>
        <w:rPr>
          <w:rFonts w:ascii="Book Antiqua" w:hAnsi="Book Antiqua"/>
          <w:szCs w:val="24"/>
          <w:lang w:val="es-ES_tradnl"/>
        </w:rPr>
        <w:t xml:space="preserve">ular, en su capacidad privada. </w:t>
      </w:r>
      <w:r w:rsidR="00CB07BD" w:rsidRPr="000F484B">
        <w:rPr>
          <w:rFonts w:ascii="Book Antiqua" w:hAnsi="Book Antiqua"/>
          <w:szCs w:val="24"/>
          <w:lang w:val="es-ES_tradnl"/>
        </w:rPr>
        <w:t>Por lo tanto, los tribunales tienen que ejercer mayor cautela y mesura al intervenir con este poder en los casos de las ag</w:t>
      </w:r>
      <w:r w:rsidR="000F484B" w:rsidRPr="000F484B">
        <w:rPr>
          <w:rFonts w:ascii="Book Antiqua" w:hAnsi="Book Antiqua"/>
          <w:szCs w:val="24"/>
          <w:lang w:val="es-ES_tradnl"/>
        </w:rPr>
        <w:t>encias o funcionarios públicos;</w:t>
      </w:r>
      <w:r>
        <w:rPr>
          <w:rFonts w:ascii="Book Antiqua" w:hAnsi="Book Antiqua"/>
          <w:szCs w:val="24"/>
          <w:lang w:val="es-ES_tradnl"/>
        </w:rPr>
        <w:t xml:space="preserve"> </w:t>
      </w:r>
      <w:r w:rsidR="00CB07BD" w:rsidRPr="000F484B">
        <w:rPr>
          <w:rFonts w:ascii="Book Antiqua" w:hAnsi="Book Antiqua"/>
          <w:szCs w:val="24"/>
          <w:lang w:val="es-ES_tradnl"/>
        </w:rPr>
        <w:t>(2)</w:t>
      </w:r>
      <w:r w:rsidR="000F484B" w:rsidRPr="000F484B">
        <w:rPr>
          <w:rFonts w:ascii="Book Antiqua" w:hAnsi="Book Antiqua"/>
          <w:szCs w:val="24"/>
          <w:lang w:val="es-ES_tradnl"/>
        </w:rPr>
        <w:t xml:space="preserve"> </w:t>
      </w:r>
      <w:r w:rsidR="00CB07BD" w:rsidRPr="000F484B">
        <w:rPr>
          <w:rFonts w:ascii="Book Antiqua" w:hAnsi="Book Antiqua"/>
          <w:szCs w:val="24"/>
          <w:lang w:val="es-ES_tradnl"/>
        </w:rPr>
        <w:t xml:space="preserve">secuela y parte indispensable de la propia facultad de legislar, por ésta constituir su fuente constitucional; </w:t>
      </w:r>
      <w:r w:rsidR="000F484B" w:rsidRPr="000F484B">
        <w:rPr>
          <w:rFonts w:ascii="Book Antiqua" w:hAnsi="Book Antiqua"/>
          <w:szCs w:val="24"/>
          <w:lang w:val="es-ES_tradnl"/>
        </w:rPr>
        <w:t xml:space="preserve">(3) </w:t>
      </w:r>
      <w:r w:rsidR="00CB07BD" w:rsidRPr="000F484B">
        <w:rPr>
          <w:rFonts w:ascii="Book Antiqua" w:hAnsi="Book Antiqua"/>
          <w:szCs w:val="24"/>
          <w:lang w:val="es-ES_tradnl"/>
        </w:rPr>
        <w:t xml:space="preserve">no es absoluto; y </w:t>
      </w:r>
      <w:r w:rsidR="000F484B" w:rsidRPr="000F484B">
        <w:rPr>
          <w:rFonts w:ascii="Book Antiqua" w:hAnsi="Book Antiqua"/>
          <w:szCs w:val="24"/>
          <w:lang w:val="es-ES_tradnl"/>
        </w:rPr>
        <w:t xml:space="preserve">(4) </w:t>
      </w:r>
      <w:r w:rsidR="00CB07BD" w:rsidRPr="000F484B">
        <w:rPr>
          <w:rFonts w:ascii="Book Antiqua" w:hAnsi="Book Antiqua"/>
          <w:szCs w:val="24"/>
          <w:lang w:val="es-ES_tradnl"/>
        </w:rPr>
        <w:t xml:space="preserve">la Rama Judicial, como máximo intérprete de la Constitución, </w:t>
      </w:r>
      <w:r>
        <w:rPr>
          <w:rFonts w:ascii="Book Antiqua" w:hAnsi="Book Antiqua"/>
          <w:szCs w:val="24"/>
          <w:lang w:val="es-ES_tradnl"/>
        </w:rPr>
        <w:t xml:space="preserve">es la facultada a </w:t>
      </w:r>
      <w:r w:rsidR="00CB07BD" w:rsidRPr="000F484B">
        <w:rPr>
          <w:rFonts w:ascii="Book Antiqua" w:hAnsi="Book Antiqua"/>
          <w:szCs w:val="24"/>
          <w:lang w:val="es-ES_tradnl"/>
        </w:rPr>
        <w:t xml:space="preserve">delimitar las restricciones al ejercicio de dicho poder y no </w:t>
      </w:r>
      <w:r>
        <w:rPr>
          <w:rFonts w:ascii="Book Antiqua" w:hAnsi="Book Antiqua"/>
          <w:szCs w:val="24"/>
          <w:lang w:val="es-ES_tradnl"/>
        </w:rPr>
        <w:t>la Rama Ejecutiva.</w:t>
      </w:r>
      <w:r w:rsidR="00CB07BD" w:rsidRPr="000F484B">
        <w:rPr>
          <w:rFonts w:ascii="Book Antiqua" w:hAnsi="Book Antiqua"/>
          <w:szCs w:val="24"/>
          <w:lang w:val="es-ES_tradnl"/>
        </w:rPr>
        <w:t xml:space="preserve"> Éstas consisten en que el referido poder no puede ejercitarse de forma arbitraria; debe perseguir un fin legislativo; y no puede utilizarse para privar a la ciudadanía de las prerrogativas esbo</w:t>
      </w:r>
      <w:r>
        <w:rPr>
          <w:rFonts w:ascii="Book Antiqua" w:hAnsi="Book Antiqua"/>
          <w:szCs w:val="24"/>
          <w:lang w:val="es-ES_tradnl"/>
        </w:rPr>
        <w:t>zadas en la Carta de Derechos.</w:t>
      </w:r>
      <w:r>
        <w:rPr>
          <w:rStyle w:val="FootnoteReference"/>
          <w:rFonts w:ascii="Book Antiqua" w:hAnsi="Book Antiqua"/>
          <w:szCs w:val="24"/>
          <w:lang w:val="es-ES_tradnl"/>
        </w:rPr>
        <w:footnoteReference w:id="4"/>
      </w:r>
      <w:r w:rsidR="00A35B97" w:rsidRPr="000F484B">
        <w:rPr>
          <w:rFonts w:ascii="Book Antiqua" w:hAnsi="Book Antiqua"/>
          <w:szCs w:val="24"/>
          <w:lang w:val="es-ES_tradnl"/>
        </w:rPr>
        <w:t xml:space="preserve"> </w:t>
      </w:r>
    </w:p>
    <w:p w14:paraId="45DF487D" w14:textId="77777777" w:rsidR="00EE3B49" w:rsidRDefault="00EE3B49" w:rsidP="00675D58">
      <w:pPr>
        <w:ind w:firstLine="540"/>
        <w:jc w:val="both"/>
        <w:rPr>
          <w:rFonts w:ascii="Book Antiqua" w:hAnsi="Book Antiqua"/>
          <w:szCs w:val="24"/>
          <w:lang w:val="es-ES_tradnl"/>
        </w:rPr>
      </w:pPr>
    </w:p>
    <w:p w14:paraId="711D6A02" w14:textId="21ECCAE3" w:rsidR="00CB07BD" w:rsidRDefault="001F3ACA" w:rsidP="00675D58">
      <w:pPr>
        <w:ind w:firstLine="540"/>
        <w:jc w:val="both"/>
        <w:rPr>
          <w:rFonts w:ascii="Book Antiqua" w:hAnsi="Book Antiqua"/>
          <w:szCs w:val="24"/>
          <w:lang w:val="es-ES_tradnl"/>
        </w:rPr>
      </w:pPr>
      <w:r>
        <w:rPr>
          <w:rFonts w:ascii="Book Antiqua" w:hAnsi="Book Antiqua"/>
          <w:szCs w:val="24"/>
          <w:lang w:val="es-ES_tradnl"/>
        </w:rPr>
        <w:t xml:space="preserve">Esta interpretación sobre el poder de investigación </w:t>
      </w:r>
      <w:r w:rsidRPr="00CB07BD">
        <w:rPr>
          <w:rFonts w:ascii="Book Antiqua" w:hAnsi="Book Antiqua"/>
          <w:szCs w:val="24"/>
          <w:lang w:val="es-ES_tradnl"/>
        </w:rPr>
        <w:t>continúa</w:t>
      </w:r>
      <w:r>
        <w:rPr>
          <w:rFonts w:ascii="Book Antiqua" w:hAnsi="Book Antiqua"/>
          <w:szCs w:val="24"/>
          <w:lang w:val="es-ES_tradnl"/>
        </w:rPr>
        <w:t xml:space="preserve"> siendo el norte en el quehacer legislativo de hoy día. </w:t>
      </w:r>
    </w:p>
    <w:p w14:paraId="14303A63" w14:textId="77777777" w:rsidR="00EE3B49" w:rsidRPr="00CB07BD" w:rsidRDefault="00EE3B49" w:rsidP="00675D58">
      <w:pPr>
        <w:ind w:firstLine="540"/>
        <w:jc w:val="both"/>
        <w:rPr>
          <w:rFonts w:ascii="Book Antiqua" w:hAnsi="Book Antiqua"/>
          <w:szCs w:val="24"/>
          <w:lang w:val="es-ES_tradnl"/>
        </w:rPr>
      </w:pPr>
    </w:p>
    <w:p w14:paraId="1078CB09" w14:textId="6ADA3216" w:rsidR="00CB07BD" w:rsidRDefault="00CB07BD" w:rsidP="00675D58">
      <w:pPr>
        <w:ind w:firstLine="540"/>
        <w:jc w:val="both"/>
        <w:rPr>
          <w:rFonts w:ascii="Book Antiqua" w:hAnsi="Book Antiqua"/>
          <w:szCs w:val="24"/>
          <w:lang w:val="es-ES_tradnl"/>
        </w:rPr>
      </w:pPr>
      <w:r w:rsidRPr="00CB07BD">
        <w:rPr>
          <w:rFonts w:ascii="Book Antiqua" w:hAnsi="Book Antiqua"/>
          <w:szCs w:val="24"/>
          <w:lang w:val="es-ES_tradnl"/>
        </w:rPr>
        <w:t xml:space="preserve">Ciertamente, </w:t>
      </w:r>
      <w:r w:rsidR="001F3ACA">
        <w:rPr>
          <w:rFonts w:ascii="Book Antiqua" w:hAnsi="Book Antiqua"/>
          <w:szCs w:val="24"/>
          <w:lang w:val="es-ES_tradnl"/>
        </w:rPr>
        <w:t xml:space="preserve">esta facultad investigativa </w:t>
      </w:r>
      <w:r w:rsidRPr="00CB07BD">
        <w:rPr>
          <w:rFonts w:ascii="Book Antiqua" w:hAnsi="Book Antiqua"/>
          <w:szCs w:val="24"/>
          <w:lang w:val="es-ES_tradnl"/>
        </w:rPr>
        <w:t xml:space="preserve">depende, en gran medida, </w:t>
      </w:r>
      <w:r w:rsidR="001F3ACA">
        <w:rPr>
          <w:rFonts w:ascii="Book Antiqua" w:hAnsi="Book Antiqua"/>
          <w:szCs w:val="24"/>
          <w:lang w:val="es-ES_tradnl"/>
        </w:rPr>
        <w:t>del poder</w:t>
      </w:r>
      <w:r w:rsidRPr="00CB07BD">
        <w:rPr>
          <w:rFonts w:ascii="Book Antiqua" w:hAnsi="Book Antiqua"/>
          <w:szCs w:val="24"/>
          <w:lang w:val="es-ES_tradnl"/>
        </w:rPr>
        <w:t xml:space="preserve"> </w:t>
      </w:r>
      <w:r w:rsidR="00D60C49">
        <w:rPr>
          <w:rFonts w:ascii="Book Antiqua" w:hAnsi="Book Antiqua"/>
          <w:szCs w:val="24"/>
          <w:lang w:val="es-ES_tradnl"/>
        </w:rPr>
        <w:t>“</w:t>
      </w:r>
      <w:r w:rsidRPr="00CB07BD">
        <w:rPr>
          <w:rFonts w:ascii="Book Antiqua" w:hAnsi="Book Antiqua"/>
          <w:szCs w:val="24"/>
          <w:lang w:val="es-ES_tradnl"/>
        </w:rPr>
        <w:t>que tienen los cuerpos legislativos para citar testigos a comparecer y traer los documentos pertinentes a las vistas, convocadas al amparo de una delegación autorizada por</w:t>
      </w:r>
      <w:r w:rsidR="00D60C49">
        <w:rPr>
          <w:rFonts w:ascii="Book Antiqua" w:hAnsi="Book Antiqua"/>
          <w:szCs w:val="24"/>
          <w:lang w:val="es-ES_tradnl"/>
        </w:rPr>
        <w:t xml:space="preserve"> el c</w:t>
      </w:r>
      <w:r w:rsidRPr="00CB07BD">
        <w:rPr>
          <w:rFonts w:ascii="Book Antiqua" w:hAnsi="Book Antiqua"/>
          <w:szCs w:val="24"/>
          <w:lang w:val="es-ES_tradnl"/>
        </w:rPr>
        <w:t>uerpo correspondiente.”</w:t>
      </w:r>
      <w:r w:rsidR="00D60C49">
        <w:rPr>
          <w:rStyle w:val="FootnoteReference"/>
          <w:rFonts w:ascii="Book Antiqua" w:hAnsi="Book Antiqua"/>
          <w:szCs w:val="24"/>
          <w:lang w:val="es-ES_tradnl"/>
        </w:rPr>
        <w:footnoteReference w:id="5"/>
      </w:r>
      <w:r w:rsidRPr="00CB07BD">
        <w:rPr>
          <w:rFonts w:ascii="Book Antiqua" w:hAnsi="Book Antiqua"/>
          <w:szCs w:val="24"/>
          <w:lang w:val="es-ES_tradnl"/>
        </w:rPr>
        <w:t xml:space="preserve">Además, las funciones de investigar, fiscalizar y debatir asuntos de interés público, ejercidas por las Cámaras Legislativas, mantienen al pueblo informado sobre los asuntos que como sociedad le atañen. </w:t>
      </w:r>
    </w:p>
    <w:p w14:paraId="4FC06FFA" w14:textId="77777777" w:rsidR="00EE3B49" w:rsidRDefault="00EE3B49" w:rsidP="00675D58">
      <w:pPr>
        <w:ind w:firstLine="540"/>
        <w:jc w:val="both"/>
        <w:rPr>
          <w:rFonts w:ascii="Book Antiqua" w:hAnsi="Book Antiqua"/>
          <w:szCs w:val="24"/>
          <w:lang w:val="es-ES_tradnl"/>
        </w:rPr>
      </w:pPr>
    </w:p>
    <w:p w14:paraId="0511D8F0" w14:textId="77777777" w:rsidR="00B53EEF" w:rsidRDefault="00D60C49" w:rsidP="00675D58">
      <w:pPr>
        <w:ind w:firstLine="540"/>
        <w:jc w:val="both"/>
        <w:rPr>
          <w:rFonts w:ascii="Book Antiqua" w:hAnsi="Book Antiqua"/>
          <w:szCs w:val="24"/>
          <w:lang w:val="es-ES_tradnl"/>
        </w:rPr>
      </w:pPr>
      <w:r>
        <w:rPr>
          <w:rFonts w:ascii="Book Antiqua" w:hAnsi="Book Antiqua"/>
          <w:szCs w:val="24"/>
          <w:lang w:val="es-ES_tradnl"/>
        </w:rPr>
        <w:t xml:space="preserve">Recientemente se reveló en los medios noticiosos que mientras la Universidad de Puerto Rico </w:t>
      </w:r>
      <w:r w:rsidR="00CD7130">
        <w:rPr>
          <w:rFonts w:ascii="Book Antiqua" w:hAnsi="Book Antiqua"/>
          <w:szCs w:val="24"/>
          <w:lang w:val="es-ES_tradnl"/>
        </w:rPr>
        <w:t xml:space="preserve">(UPR) </w:t>
      </w:r>
      <w:r>
        <w:rPr>
          <w:rFonts w:ascii="Book Antiqua" w:hAnsi="Book Antiqua"/>
          <w:szCs w:val="24"/>
          <w:lang w:val="es-ES_tradnl"/>
        </w:rPr>
        <w:t xml:space="preserve">atraviesa reglas de austeridad y recortes, la Junta de Gobierno de la institución educativa gasta miles de dólares de fondos públicos en reuniones de fines de semana en un hotel en Isla Verde. La Dra. Mayda Velasco, presidenta de la Junta de Gobierno, alega que estos gastos son necesarios </w:t>
      </w:r>
      <w:r w:rsidR="002B6593">
        <w:rPr>
          <w:rFonts w:ascii="Book Antiqua" w:hAnsi="Book Antiqua"/>
          <w:szCs w:val="24"/>
          <w:lang w:val="es-ES_tradnl"/>
        </w:rPr>
        <w:t xml:space="preserve">para que el Comité Externo de Colaboradores de la Oficina de </w:t>
      </w:r>
      <w:r w:rsidR="00CD7130">
        <w:rPr>
          <w:rFonts w:ascii="Book Antiqua" w:hAnsi="Book Antiqua"/>
          <w:szCs w:val="24"/>
          <w:lang w:val="es-ES_tradnl"/>
        </w:rPr>
        <w:t>Transformación</w:t>
      </w:r>
      <w:r w:rsidR="002B6593">
        <w:rPr>
          <w:rFonts w:ascii="Book Antiqua" w:hAnsi="Book Antiqua"/>
          <w:szCs w:val="24"/>
          <w:lang w:val="es-ES_tradnl"/>
        </w:rPr>
        <w:t xml:space="preserve"> Institucional </w:t>
      </w:r>
      <w:r w:rsidR="00CD7130">
        <w:rPr>
          <w:rFonts w:ascii="Book Antiqua" w:hAnsi="Book Antiqua"/>
          <w:szCs w:val="24"/>
          <w:lang w:val="es-ES_tradnl"/>
        </w:rPr>
        <w:t>puedan trabajar en una evaluación de la operación del recinto de Ciencias Médicas. Estas decisiones tomadas por la Junta de Gobierno de la UPR afectan adversamente</w:t>
      </w:r>
      <w:r w:rsidR="00321130">
        <w:rPr>
          <w:rFonts w:ascii="Book Antiqua" w:hAnsi="Book Antiqua"/>
          <w:szCs w:val="24"/>
          <w:lang w:val="es-ES_tradnl"/>
        </w:rPr>
        <w:t xml:space="preserve"> el ofrecimiento académico</w:t>
      </w:r>
      <w:r w:rsidR="00B53EEF">
        <w:rPr>
          <w:rFonts w:ascii="Book Antiqua" w:hAnsi="Book Antiqua"/>
          <w:szCs w:val="24"/>
          <w:lang w:val="es-ES_tradnl"/>
        </w:rPr>
        <w:t xml:space="preserve">, provoca una merma en la matrícula y mantiene a los recintos operando en déficit. </w:t>
      </w:r>
    </w:p>
    <w:p w14:paraId="251C4E87" w14:textId="77777777" w:rsidR="00675D58" w:rsidRDefault="00675D58" w:rsidP="00675D58">
      <w:pPr>
        <w:ind w:firstLine="540"/>
        <w:jc w:val="both"/>
        <w:rPr>
          <w:rFonts w:ascii="Book Antiqua" w:hAnsi="Book Antiqua"/>
          <w:szCs w:val="24"/>
          <w:lang w:val="es-ES_tradnl"/>
        </w:rPr>
      </w:pPr>
    </w:p>
    <w:p w14:paraId="18BC194D" w14:textId="374EE308" w:rsidR="008D5A1F" w:rsidRDefault="00B53EEF" w:rsidP="00675D58">
      <w:pPr>
        <w:ind w:firstLine="708"/>
        <w:jc w:val="both"/>
        <w:rPr>
          <w:rFonts w:ascii="Book Antiqua" w:hAnsi="Book Antiqua"/>
          <w:szCs w:val="24"/>
          <w:lang w:val="es-ES_tradnl"/>
        </w:rPr>
      </w:pPr>
      <w:r>
        <w:rPr>
          <w:rFonts w:ascii="Book Antiqua" w:hAnsi="Book Antiqua"/>
          <w:szCs w:val="24"/>
          <w:lang w:val="es-ES_tradnl"/>
        </w:rPr>
        <w:lastRenderedPageBreak/>
        <w:t xml:space="preserve">De otra parte, la Junta de Gobierno de la UPR no está cumpliendo con lo estipulado en la Resolución del </w:t>
      </w:r>
      <w:r w:rsidR="008D5A1F">
        <w:rPr>
          <w:rFonts w:ascii="Book Antiqua" w:hAnsi="Book Antiqua"/>
          <w:szCs w:val="24"/>
          <w:lang w:val="es-ES_tradnl"/>
        </w:rPr>
        <w:t>Tribunal</w:t>
      </w:r>
      <w:r>
        <w:rPr>
          <w:rFonts w:ascii="Book Antiqua" w:hAnsi="Book Antiqua"/>
          <w:szCs w:val="24"/>
          <w:lang w:val="es-ES_tradnl"/>
        </w:rPr>
        <w:t xml:space="preserve"> de </w:t>
      </w:r>
      <w:r w:rsidR="008D5A1F">
        <w:rPr>
          <w:rFonts w:ascii="Book Antiqua" w:hAnsi="Book Antiqua"/>
          <w:szCs w:val="24"/>
          <w:lang w:val="es-ES_tradnl"/>
        </w:rPr>
        <w:t>Apelaciones</w:t>
      </w:r>
      <w:r>
        <w:rPr>
          <w:rFonts w:ascii="Book Antiqua" w:hAnsi="Book Antiqua"/>
          <w:szCs w:val="24"/>
          <w:lang w:val="es-ES_tradnl"/>
        </w:rPr>
        <w:t xml:space="preserve"> de Puerto Rico de 30 de septiembre de 2021, </w:t>
      </w:r>
      <w:r w:rsidR="008D5A1F">
        <w:rPr>
          <w:rFonts w:ascii="Book Antiqua" w:hAnsi="Book Antiqua"/>
          <w:szCs w:val="24"/>
          <w:lang w:val="es-ES_tradnl"/>
        </w:rPr>
        <w:t>en la cual se reconoció que:</w:t>
      </w:r>
    </w:p>
    <w:p w14:paraId="03235599" w14:textId="1970AE8C" w:rsidR="00B53EEF" w:rsidRDefault="008D5A1F" w:rsidP="00675D58">
      <w:pPr>
        <w:ind w:left="720" w:right="810"/>
        <w:jc w:val="both"/>
        <w:rPr>
          <w:rFonts w:ascii="Book Antiqua" w:hAnsi="Book Antiqua"/>
          <w:color w:val="212121"/>
          <w:sz w:val="22"/>
          <w:szCs w:val="24"/>
          <w:shd w:val="clear" w:color="auto" w:fill="FFFFFF"/>
          <w:lang w:val="es-PR"/>
        </w:rPr>
      </w:pPr>
      <w:r w:rsidRPr="002D4448">
        <w:rPr>
          <w:rFonts w:ascii="Book Antiqua" w:hAnsi="Book Antiqua"/>
          <w:sz w:val="22"/>
          <w:szCs w:val="24"/>
          <w:lang w:val="es-ES_tradnl"/>
        </w:rPr>
        <w:t>“</w:t>
      </w:r>
      <w:r w:rsidRPr="002D4448">
        <w:rPr>
          <w:rFonts w:ascii="Book Antiqua" w:hAnsi="Book Antiqua"/>
          <w:b/>
          <w:sz w:val="22"/>
          <w:szCs w:val="24"/>
          <w:lang w:val="es-ES_tradnl"/>
        </w:rPr>
        <w:t>la</w:t>
      </w:r>
      <w:r w:rsidRPr="002D4448">
        <w:rPr>
          <w:rStyle w:val="ssbu"/>
          <w:rFonts w:ascii="Book Antiqua" w:hAnsi="Book Antiqua"/>
          <w:b/>
          <w:bCs/>
          <w:color w:val="212121"/>
          <w:sz w:val="22"/>
          <w:szCs w:val="24"/>
          <w:bdr w:val="none" w:sz="0" w:space="0" w:color="auto" w:frame="1"/>
          <w:shd w:val="clear" w:color="auto" w:fill="FFFFFF"/>
          <w:lang w:val="es-PR"/>
        </w:rPr>
        <w:t xml:space="preserve"> Junta de Retiro es una entidad de naturaleza afín a los fines del Fideicomiso para el Fondo de Retiro por lo que tiene legitimación para solicitar la remoción de la Junta de Gobierno como fiduciario.</w:t>
      </w:r>
      <w:r w:rsidRPr="002D4448">
        <w:rPr>
          <w:rStyle w:val="ssbu"/>
          <w:rFonts w:ascii="Book Antiqua" w:hAnsi="Book Antiqua"/>
          <w:bCs/>
          <w:color w:val="212121"/>
          <w:sz w:val="22"/>
          <w:szCs w:val="24"/>
          <w:bdr w:val="none" w:sz="0" w:space="0" w:color="auto" w:frame="1"/>
          <w:shd w:val="clear" w:color="auto" w:fill="FFFFFF"/>
          <w:lang w:val="es-PR"/>
        </w:rPr>
        <w:t xml:space="preserve"> Además, según lo solicitó al foro primario y a este Tribunal de Apelaciones, procede </w:t>
      </w:r>
      <w:r w:rsidRPr="002D4448">
        <w:rPr>
          <w:rStyle w:val="ssbu"/>
          <w:rFonts w:ascii="Book Antiqua" w:hAnsi="Book Antiqua"/>
          <w:b/>
          <w:bCs/>
          <w:color w:val="212121"/>
          <w:sz w:val="22"/>
          <w:szCs w:val="24"/>
          <w:bdr w:val="none" w:sz="0" w:space="0" w:color="auto" w:frame="1"/>
          <w:shd w:val="clear" w:color="auto" w:fill="FFFFFF"/>
          <w:lang w:val="es-PR"/>
        </w:rPr>
        <w:t>que la Junta de Retiro, sea nombrada como fiduciaria sustituta ante el incumplimiento sustancial de la Junta de Gobierno con su rol fiduciario y toda vez que los fines del fideicomiso se encuentran comprendidos dentro del objeto de la entidad</w:t>
      </w:r>
      <w:r w:rsidRPr="002D4448">
        <w:rPr>
          <w:rFonts w:ascii="Book Antiqua" w:hAnsi="Book Antiqua"/>
          <w:b/>
          <w:color w:val="212121"/>
          <w:sz w:val="22"/>
          <w:szCs w:val="24"/>
          <w:shd w:val="clear" w:color="auto" w:fill="FFFFFF"/>
          <w:lang w:val="es-PR"/>
        </w:rPr>
        <w:t>.</w:t>
      </w:r>
      <w:r w:rsidRPr="002D4448">
        <w:rPr>
          <w:rFonts w:ascii="Book Antiqua" w:hAnsi="Book Antiqua"/>
          <w:color w:val="212121"/>
          <w:sz w:val="22"/>
          <w:szCs w:val="24"/>
          <w:shd w:val="clear" w:color="auto" w:fill="FFFFFF"/>
          <w:lang w:val="es-PR"/>
        </w:rPr>
        <w:t>”</w:t>
      </w:r>
      <w:r w:rsidRPr="002D4448">
        <w:rPr>
          <w:rStyle w:val="FootnoteReference"/>
          <w:rFonts w:ascii="Book Antiqua" w:hAnsi="Book Antiqua"/>
          <w:color w:val="212121"/>
          <w:sz w:val="22"/>
          <w:szCs w:val="24"/>
          <w:shd w:val="clear" w:color="auto" w:fill="FFFFFF"/>
          <w:lang w:val="es-PR"/>
        </w:rPr>
        <w:footnoteReference w:id="6"/>
      </w:r>
    </w:p>
    <w:p w14:paraId="12E4F6B2" w14:textId="77777777" w:rsidR="00EE3B49" w:rsidRPr="008D5A1F" w:rsidRDefault="00EE3B49" w:rsidP="00675D58">
      <w:pPr>
        <w:ind w:left="720" w:right="810"/>
        <w:jc w:val="both"/>
        <w:rPr>
          <w:rFonts w:ascii="Book Antiqua" w:hAnsi="Book Antiqua"/>
          <w:szCs w:val="24"/>
          <w:lang w:val="es-ES_tradnl"/>
        </w:rPr>
      </w:pPr>
    </w:p>
    <w:p w14:paraId="7D979204" w14:textId="50F5C149" w:rsidR="00CB07BD" w:rsidRDefault="00AA353C" w:rsidP="00675D58">
      <w:pPr>
        <w:ind w:firstLine="708"/>
        <w:jc w:val="both"/>
        <w:rPr>
          <w:rFonts w:ascii="Book Antiqua" w:hAnsi="Book Antiqua"/>
          <w:szCs w:val="24"/>
          <w:lang w:val="es-ES_tradnl"/>
        </w:rPr>
      </w:pPr>
      <w:r>
        <w:rPr>
          <w:rFonts w:ascii="Book Antiqua" w:hAnsi="Book Antiqua"/>
          <w:szCs w:val="24"/>
          <w:lang w:val="es-ES_tradnl"/>
        </w:rPr>
        <w:t>Por todo  lo antes expresado, l</w:t>
      </w:r>
      <w:r w:rsidR="00CD7130">
        <w:rPr>
          <w:rFonts w:ascii="Book Antiqua" w:hAnsi="Book Antiqua"/>
          <w:szCs w:val="24"/>
          <w:lang w:val="es-ES_tradnl"/>
        </w:rPr>
        <w:t xml:space="preserve">a </w:t>
      </w:r>
      <w:r w:rsidR="00FB0984" w:rsidRPr="009725C8">
        <w:rPr>
          <w:rFonts w:ascii="Book Antiqua" w:hAnsi="Book Antiqua"/>
          <w:lang w:val="es-PR"/>
        </w:rPr>
        <w:t>Comisión de Asuntos Laborales y Transformación del Sistema de Pensiones para un Retiro Digno</w:t>
      </w:r>
      <w:r w:rsidR="00FB0984">
        <w:rPr>
          <w:rFonts w:ascii="Book Antiqua" w:hAnsi="Book Antiqua"/>
          <w:szCs w:val="24"/>
          <w:lang w:val="es-ES_tradnl"/>
        </w:rPr>
        <w:t xml:space="preserve"> de la </w:t>
      </w:r>
      <w:r w:rsidR="00CD7130">
        <w:rPr>
          <w:rFonts w:ascii="Book Antiqua" w:hAnsi="Book Antiqua"/>
          <w:szCs w:val="24"/>
          <w:lang w:val="es-ES_tradnl"/>
        </w:rPr>
        <w:t>Cámara de Representantes de Puerto Rico</w:t>
      </w:r>
      <w:r w:rsidR="00B803D2">
        <w:rPr>
          <w:rFonts w:ascii="Book Antiqua" w:hAnsi="Book Antiqua"/>
          <w:szCs w:val="24"/>
          <w:lang w:val="es-ES_tradnl"/>
        </w:rPr>
        <w:t xml:space="preserve">, ejerciendo la facultad consagrada a </w:t>
      </w:r>
      <w:r w:rsidR="00FB0984">
        <w:rPr>
          <w:rFonts w:ascii="Book Antiqua" w:hAnsi="Book Antiqua"/>
          <w:szCs w:val="24"/>
          <w:lang w:val="es-ES_tradnl"/>
        </w:rPr>
        <w:t xml:space="preserve">la Asamblea Legislativa </w:t>
      </w:r>
      <w:r w:rsidR="00B803D2">
        <w:rPr>
          <w:rFonts w:ascii="Book Antiqua" w:hAnsi="Book Antiqua"/>
          <w:szCs w:val="24"/>
          <w:lang w:val="es-ES_tradnl"/>
        </w:rPr>
        <w:t xml:space="preserve">por nuestra Constitución, </w:t>
      </w:r>
      <w:r w:rsidR="00783F61">
        <w:rPr>
          <w:rFonts w:ascii="Book Antiqua" w:hAnsi="Book Antiqua"/>
          <w:szCs w:val="24"/>
          <w:lang w:val="es-ES_tradnl"/>
        </w:rPr>
        <w:t xml:space="preserve">exige </w:t>
      </w:r>
      <w:r w:rsidR="00B803D2">
        <w:rPr>
          <w:rFonts w:ascii="Book Antiqua" w:hAnsi="Book Antiqua"/>
          <w:szCs w:val="24"/>
          <w:lang w:val="es-ES_tradnl"/>
        </w:rPr>
        <w:t>a</w:t>
      </w:r>
      <w:r w:rsidR="00B803D2" w:rsidRPr="00B803D2">
        <w:rPr>
          <w:lang w:val="es-PR"/>
        </w:rPr>
        <w:t xml:space="preserve"> </w:t>
      </w:r>
      <w:r w:rsidR="00B803D2" w:rsidRPr="00B803D2">
        <w:rPr>
          <w:rFonts w:ascii="Book Antiqua" w:hAnsi="Book Antiqua"/>
          <w:szCs w:val="24"/>
          <w:lang w:val="es-ES_tradnl"/>
        </w:rPr>
        <w:t>la</w:t>
      </w:r>
      <w:r w:rsidR="00FB0984">
        <w:rPr>
          <w:rFonts w:ascii="Book Antiqua" w:hAnsi="Book Antiqua"/>
          <w:szCs w:val="24"/>
          <w:lang w:val="es-ES_tradnl"/>
        </w:rPr>
        <w:t xml:space="preserve"> </w:t>
      </w:r>
      <w:r w:rsidR="00B803D2" w:rsidRPr="00B803D2">
        <w:rPr>
          <w:rFonts w:ascii="Book Antiqua" w:hAnsi="Book Antiqua"/>
          <w:szCs w:val="24"/>
          <w:lang w:val="es-ES_tradnl"/>
        </w:rPr>
        <w:t xml:space="preserve"> Junta de Gobierno de la Universidad de Puerto Rico a comparecer </w:t>
      </w:r>
      <w:r w:rsidR="00B803D2">
        <w:rPr>
          <w:rFonts w:ascii="Book Antiqua" w:hAnsi="Book Antiqua"/>
          <w:szCs w:val="24"/>
          <w:lang w:val="es-ES_tradnl"/>
        </w:rPr>
        <w:t xml:space="preserve">ante </w:t>
      </w:r>
      <w:r w:rsidR="00C3294F">
        <w:rPr>
          <w:rFonts w:ascii="Book Antiqua" w:hAnsi="Book Antiqua"/>
          <w:szCs w:val="24"/>
          <w:lang w:val="es-ES_tradnl"/>
        </w:rPr>
        <w:t>la Comisión,</w:t>
      </w:r>
      <w:r w:rsidR="00B803D2">
        <w:rPr>
          <w:rFonts w:ascii="Book Antiqua" w:hAnsi="Book Antiqua"/>
          <w:szCs w:val="24"/>
          <w:lang w:val="es-ES_tradnl"/>
        </w:rPr>
        <w:t xml:space="preserve"> con el fin de explicar, detallar y producir todos los documentos relacionados con gastos incurridos en actividades extracurriculares, “gastos alegres”, durante los años 2021-2022; y </w:t>
      </w:r>
      <w:r w:rsidR="00C3294F">
        <w:rPr>
          <w:rFonts w:ascii="Book Antiqua" w:hAnsi="Book Antiqua"/>
          <w:szCs w:val="24"/>
          <w:lang w:val="es-ES_tradnl"/>
        </w:rPr>
        <w:t>reclama</w:t>
      </w:r>
      <w:r w:rsidR="00B803D2">
        <w:rPr>
          <w:rFonts w:ascii="Book Antiqua" w:hAnsi="Book Antiqua"/>
          <w:szCs w:val="24"/>
          <w:lang w:val="es-ES_tradnl"/>
        </w:rPr>
        <w:t xml:space="preserve"> el cumplimiento de la Resolución del caso </w:t>
      </w:r>
      <w:r w:rsidR="00B803D2" w:rsidRPr="00A7644F">
        <w:rPr>
          <w:rFonts w:ascii="Book Antiqua" w:hAnsi="Book Antiqua"/>
          <w:i/>
          <w:szCs w:val="24"/>
          <w:lang w:val="es-ES_tradnl"/>
        </w:rPr>
        <w:t>Junta de Retiro de la UPR v. Junta de Gobierno de la UPR</w:t>
      </w:r>
      <w:r w:rsidR="00B803D2">
        <w:rPr>
          <w:rFonts w:ascii="Book Antiqua" w:hAnsi="Book Antiqua"/>
          <w:szCs w:val="24"/>
          <w:lang w:val="es-ES_tradnl"/>
        </w:rPr>
        <w:t xml:space="preserve">, </w:t>
      </w:r>
      <w:r w:rsidR="00B803D2" w:rsidRPr="00114D0F">
        <w:rPr>
          <w:rFonts w:ascii="Book Antiqua" w:hAnsi="Book Antiqua"/>
          <w:szCs w:val="24"/>
          <w:lang w:val="es-ES_tradnl"/>
        </w:rPr>
        <w:t>KLAN201900304 CONS. CON KLCE201900366</w:t>
      </w:r>
      <w:r w:rsidR="00B803D2">
        <w:rPr>
          <w:rFonts w:ascii="Book Antiqua" w:hAnsi="Book Antiqua"/>
          <w:szCs w:val="24"/>
          <w:lang w:val="es-ES_tradnl"/>
        </w:rPr>
        <w:t>, 2020 PR App. LEXIS 1688 (T</w:t>
      </w:r>
      <w:r w:rsidR="00A2479E">
        <w:rPr>
          <w:rFonts w:ascii="Book Antiqua" w:hAnsi="Book Antiqua"/>
          <w:szCs w:val="24"/>
          <w:lang w:val="es-ES_tradnl"/>
        </w:rPr>
        <w:t>A PR 30 de septiembre de 2020), a fin de evaluar las determinaciones de la Junta de Gobierno en torno a la usurpación de sus facultades de fiducia, deberes que le competen y fueron traspasados a la Junta de Retiro por la citada Resolución.</w:t>
      </w:r>
      <w:r w:rsidR="00CB07BD" w:rsidRPr="00CB07BD">
        <w:rPr>
          <w:rFonts w:ascii="Book Antiqua" w:hAnsi="Book Antiqua"/>
          <w:szCs w:val="24"/>
          <w:lang w:val="es-ES_tradnl"/>
        </w:rPr>
        <w:tab/>
      </w:r>
    </w:p>
    <w:p w14:paraId="7F04F5BE" w14:textId="77777777" w:rsidR="00EE3B49" w:rsidRDefault="00EE3B49" w:rsidP="00675D58">
      <w:pPr>
        <w:ind w:firstLine="708"/>
        <w:jc w:val="both"/>
        <w:rPr>
          <w:rFonts w:ascii="Book Antiqua" w:hAnsi="Book Antiqua"/>
          <w:szCs w:val="24"/>
          <w:lang w:val="es-ES_tradnl"/>
        </w:rPr>
      </w:pPr>
    </w:p>
    <w:p w14:paraId="3AC98F94" w14:textId="77777777" w:rsidR="00FC42EE" w:rsidRPr="00D94213" w:rsidRDefault="00FC42EE" w:rsidP="00675D58">
      <w:pPr>
        <w:spacing w:line="480" w:lineRule="auto"/>
        <w:jc w:val="both"/>
        <w:rPr>
          <w:rFonts w:ascii="Book Antiqua" w:hAnsi="Book Antiqua"/>
          <w:i/>
          <w:szCs w:val="24"/>
          <w:lang w:val="es-PR"/>
        </w:rPr>
      </w:pPr>
      <w:r w:rsidRPr="00D94213">
        <w:rPr>
          <w:rFonts w:ascii="Book Antiqua" w:hAnsi="Book Antiqua"/>
          <w:i/>
          <w:szCs w:val="24"/>
          <w:lang w:val="es-PR"/>
        </w:rPr>
        <w:t xml:space="preserve">RESUÉLVESE POR </w:t>
      </w:r>
      <w:r w:rsidR="00AA353C" w:rsidRPr="00D94213">
        <w:rPr>
          <w:rFonts w:ascii="Book Antiqua" w:hAnsi="Book Antiqua"/>
          <w:i/>
          <w:szCs w:val="24"/>
          <w:lang w:val="es-PR"/>
        </w:rPr>
        <w:t>L</w:t>
      </w:r>
      <w:bookmarkStart w:id="0" w:name="_GoBack"/>
      <w:bookmarkEnd w:id="0"/>
      <w:r w:rsidR="00AA353C" w:rsidRPr="00D94213">
        <w:rPr>
          <w:rFonts w:ascii="Book Antiqua" w:hAnsi="Book Antiqua"/>
          <w:i/>
          <w:szCs w:val="24"/>
          <w:lang w:val="es-PR"/>
        </w:rPr>
        <w:t xml:space="preserve">A CÁMARA DE REPRESENTANTES </w:t>
      </w:r>
      <w:r w:rsidRPr="00D94213">
        <w:rPr>
          <w:rFonts w:ascii="Book Antiqua" w:hAnsi="Book Antiqua"/>
          <w:i/>
          <w:szCs w:val="24"/>
          <w:lang w:val="es-PR"/>
        </w:rPr>
        <w:t>DE PUERTO RICO:</w:t>
      </w:r>
    </w:p>
    <w:p w14:paraId="6195EF5D" w14:textId="77777777" w:rsidR="00FC42EE" w:rsidRPr="00D94213" w:rsidRDefault="00FC42EE" w:rsidP="00FC42EE">
      <w:pPr>
        <w:spacing w:line="480" w:lineRule="auto"/>
        <w:jc w:val="both"/>
        <w:rPr>
          <w:rFonts w:ascii="Book Antiqua" w:hAnsi="Book Antiqua"/>
          <w:i/>
          <w:szCs w:val="24"/>
          <w:lang w:val="es-PR"/>
        </w:rPr>
        <w:sectPr w:rsidR="00FC42EE" w:rsidRPr="00D94213" w:rsidSect="00FC42EE">
          <w:headerReference w:type="default" r:id="rId7"/>
          <w:pgSz w:w="12240" w:h="15840" w:code="1"/>
          <w:pgMar w:top="1440" w:right="1440" w:bottom="1440" w:left="1440" w:header="720" w:footer="720" w:gutter="0"/>
          <w:cols w:space="720"/>
          <w:titlePg/>
        </w:sectPr>
      </w:pPr>
    </w:p>
    <w:p w14:paraId="500CB161" w14:textId="77777777" w:rsidR="009725C8" w:rsidRPr="00AC6A47" w:rsidRDefault="00FC42EE" w:rsidP="00D27A10">
      <w:pPr>
        <w:spacing w:line="480" w:lineRule="auto"/>
        <w:ind w:firstLine="708"/>
        <w:jc w:val="both"/>
        <w:rPr>
          <w:rFonts w:ascii="Book Antiqua" w:hAnsi="Book Antiqua"/>
          <w:iCs/>
          <w:szCs w:val="24"/>
          <w:lang w:val="es-PR"/>
        </w:rPr>
      </w:pPr>
      <w:r w:rsidRPr="00AC6A47">
        <w:rPr>
          <w:rFonts w:ascii="Book Antiqua" w:hAnsi="Book Antiqua"/>
          <w:iCs/>
          <w:szCs w:val="24"/>
          <w:lang w:val="es-PR"/>
        </w:rPr>
        <w:lastRenderedPageBreak/>
        <w:t xml:space="preserve">Sección 1.- Se </w:t>
      </w:r>
      <w:r w:rsidR="00AA353C" w:rsidRPr="00AC6A47">
        <w:rPr>
          <w:rFonts w:ascii="Book Antiqua" w:hAnsi="Book Antiqua"/>
          <w:iCs/>
          <w:szCs w:val="24"/>
          <w:lang w:val="es-PR"/>
        </w:rPr>
        <w:t xml:space="preserve">ordena a </w:t>
      </w:r>
      <w:r w:rsidR="009725C8" w:rsidRPr="00AC6A47">
        <w:rPr>
          <w:rFonts w:ascii="Book Antiqua" w:hAnsi="Book Antiqua"/>
          <w:iCs/>
          <w:szCs w:val="24"/>
          <w:lang w:val="es-PR"/>
        </w:rPr>
        <w:t xml:space="preserve">la Comisión de Asuntos Laborales y Transformación del Sistema de Pensiones para un Retiro Digno de la Cámara de Representantes de Puerto Rico, realizar una investigación exhaustiva y ordenar la comparecencia de la Junta de Gobierno de la Universidad de Puerto Rico ante la Comisión, con el fin de explicar, detallar y producir todos los documentos relacionados con gastos incurridos en actividades extracurriculares, “gastos alegres”, durante los años 2021-2022; y exigir el </w:t>
      </w:r>
      <w:r w:rsidR="009725C8" w:rsidRPr="00AC6A47">
        <w:rPr>
          <w:rFonts w:ascii="Book Antiqua" w:hAnsi="Book Antiqua"/>
          <w:iCs/>
          <w:szCs w:val="24"/>
          <w:lang w:val="es-PR"/>
        </w:rPr>
        <w:lastRenderedPageBreak/>
        <w:t>cumplimiento de la Resolución del caso Junta de Retiro de la UPR v. Junta de Gobierno de la UPR, KLAN201900304 CONS. CON KLCE201900366, 2020 PR App. LEXIS 1688 (TA PR 30 de septiembre de 2020</w:t>
      </w:r>
      <w:r w:rsidR="00A2479E" w:rsidRPr="00AC6A47">
        <w:rPr>
          <w:rFonts w:ascii="Book Antiqua" w:hAnsi="Book Antiqua"/>
          <w:iCs/>
          <w:szCs w:val="24"/>
          <w:lang w:val="es-PR"/>
        </w:rPr>
        <w:t>), a fin de evaluar las determinaciones de la Junta de Gobierno en torno a la usurpación de sus facultades de fiducia, deberes que le competen y fueron traspasados a la Junta de Retiro por la citada Resolución.</w:t>
      </w:r>
      <w:r w:rsidR="009725C8" w:rsidRPr="00AC6A47">
        <w:rPr>
          <w:rFonts w:ascii="Book Antiqua" w:hAnsi="Book Antiqua"/>
          <w:iCs/>
          <w:szCs w:val="24"/>
          <w:lang w:val="es-PR"/>
        </w:rPr>
        <w:t xml:space="preserve"> </w:t>
      </w:r>
    </w:p>
    <w:p w14:paraId="11FDB3FA" w14:textId="77777777" w:rsidR="009725C8" w:rsidRPr="00AC6A47" w:rsidRDefault="00FC42EE" w:rsidP="00D27A10">
      <w:pPr>
        <w:spacing w:line="480" w:lineRule="auto"/>
        <w:ind w:firstLine="708"/>
        <w:jc w:val="both"/>
        <w:rPr>
          <w:rFonts w:ascii="Book Antiqua" w:hAnsi="Book Antiqua"/>
          <w:iCs/>
          <w:szCs w:val="24"/>
          <w:lang w:val="es-PR"/>
        </w:rPr>
      </w:pPr>
      <w:r w:rsidRPr="00AC6A47">
        <w:rPr>
          <w:rFonts w:ascii="Book Antiqua" w:hAnsi="Book Antiqua"/>
          <w:iCs/>
          <w:szCs w:val="24"/>
          <w:lang w:val="es-PR"/>
        </w:rPr>
        <w:t xml:space="preserve">Sección 2.- </w:t>
      </w:r>
      <w:r w:rsidR="009725C8" w:rsidRPr="00AC6A47">
        <w:rPr>
          <w:rFonts w:ascii="Book Antiqua" w:hAnsi="Book Antiqua"/>
          <w:iCs/>
          <w:szCs w:val="24"/>
          <w:lang w:val="es-PR"/>
        </w:rPr>
        <w:t>La Comisión podrá celebrar vistas públicas; citar funcionarios; requerir información y realizar inspecciones oculares a los fines de cumplir con el mandato de esta Resolución.</w:t>
      </w:r>
    </w:p>
    <w:p w14:paraId="4CEE3A36" w14:textId="3E5895C8" w:rsidR="009725C8" w:rsidRPr="00AC6A47" w:rsidRDefault="009725C8" w:rsidP="00D27A10">
      <w:pPr>
        <w:spacing w:line="480" w:lineRule="auto"/>
        <w:ind w:firstLine="708"/>
        <w:jc w:val="both"/>
        <w:rPr>
          <w:rFonts w:ascii="Book Antiqua" w:hAnsi="Book Antiqua"/>
          <w:iCs/>
          <w:szCs w:val="24"/>
          <w:lang w:val="es-PR"/>
        </w:rPr>
      </w:pPr>
      <w:r w:rsidRPr="00AC6A47">
        <w:rPr>
          <w:rFonts w:ascii="Book Antiqua" w:hAnsi="Book Antiqua"/>
          <w:iCs/>
          <w:szCs w:val="24"/>
          <w:lang w:val="es-PR"/>
        </w:rPr>
        <w:t>Sección 3. - La Comisión deberá rendir un informe con sus hallazgos, conclusiones y recomendaciones, en un término no mayor de</w:t>
      </w:r>
      <w:r w:rsidR="00EF7DC9" w:rsidRPr="00AC6A47">
        <w:rPr>
          <w:rFonts w:ascii="Book Antiqua" w:hAnsi="Book Antiqua"/>
          <w:iCs/>
          <w:szCs w:val="24"/>
          <w:lang w:val="es-PR"/>
        </w:rPr>
        <w:t xml:space="preserve"> 120 días</w:t>
      </w:r>
      <w:r w:rsidRPr="00AC6A47">
        <w:rPr>
          <w:rFonts w:ascii="Book Antiqua" w:hAnsi="Book Antiqua"/>
          <w:iCs/>
          <w:szCs w:val="24"/>
          <w:lang w:val="es-PR"/>
        </w:rPr>
        <w:t>, después de aprobada esta Resolución.</w:t>
      </w:r>
    </w:p>
    <w:p w14:paraId="6A3C12E4" w14:textId="77777777" w:rsidR="00B26A0D" w:rsidRPr="00AC6A47" w:rsidRDefault="00FC42EE" w:rsidP="00D27A10">
      <w:pPr>
        <w:spacing w:line="480" w:lineRule="auto"/>
        <w:ind w:firstLine="708"/>
        <w:jc w:val="both"/>
        <w:rPr>
          <w:rFonts w:ascii="Book Antiqua" w:hAnsi="Book Antiqua"/>
          <w:iCs/>
          <w:szCs w:val="24"/>
          <w:lang w:val="es-PR"/>
        </w:rPr>
      </w:pPr>
      <w:r w:rsidRPr="00AC6A47">
        <w:rPr>
          <w:rFonts w:ascii="Book Antiqua" w:hAnsi="Book Antiqua"/>
          <w:iCs/>
          <w:szCs w:val="24"/>
          <w:lang w:val="es-PR"/>
        </w:rPr>
        <w:t xml:space="preserve">Sección </w:t>
      </w:r>
      <w:r w:rsidR="00A05ED0" w:rsidRPr="00AC6A47">
        <w:rPr>
          <w:rFonts w:ascii="Book Antiqua" w:hAnsi="Book Antiqua"/>
          <w:iCs/>
          <w:szCs w:val="24"/>
          <w:lang w:val="es-PR"/>
        </w:rPr>
        <w:t>4</w:t>
      </w:r>
      <w:r w:rsidRPr="00AC6A47">
        <w:rPr>
          <w:rFonts w:ascii="Book Antiqua" w:hAnsi="Book Antiqua"/>
          <w:iCs/>
          <w:szCs w:val="24"/>
          <w:lang w:val="es-PR"/>
        </w:rPr>
        <w:t>.- Esta Resolución comenzará a regir inmediatamente después de su aprobación.</w:t>
      </w:r>
    </w:p>
    <w:sectPr w:rsidR="00B26A0D" w:rsidRPr="00AC6A47" w:rsidSect="00EE3B49">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4AC1" w14:textId="77777777" w:rsidR="00B625A6" w:rsidRDefault="00B625A6" w:rsidP="00FC42EE">
      <w:r>
        <w:separator/>
      </w:r>
    </w:p>
  </w:endnote>
  <w:endnote w:type="continuationSeparator" w:id="0">
    <w:p w14:paraId="028FA3C0" w14:textId="77777777" w:rsidR="00B625A6" w:rsidRDefault="00B625A6" w:rsidP="00FC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Georgi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CE81D" w14:textId="77777777" w:rsidR="00B625A6" w:rsidRDefault="00B625A6" w:rsidP="00FC42EE">
      <w:r>
        <w:separator/>
      </w:r>
    </w:p>
  </w:footnote>
  <w:footnote w:type="continuationSeparator" w:id="0">
    <w:p w14:paraId="696AC0A7" w14:textId="77777777" w:rsidR="00B625A6" w:rsidRDefault="00B625A6" w:rsidP="00FC42EE">
      <w:r>
        <w:continuationSeparator/>
      </w:r>
    </w:p>
  </w:footnote>
  <w:footnote w:id="1">
    <w:p w14:paraId="414F5D95" w14:textId="77777777" w:rsidR="00D14EA8" w:rsidRPr="00D14EA8" w:rsidRDefault="00D14EA8" w:rsidP="00D14EA8">
      <w:pPr>
        <w:pStyle w:val="FootnoteText"/>
        <w:tabs>
          <w:tab w:val="left" w:pos="360"/>
        </w:tabs>
        <w:rPr>
          <w:rFonts w:ascii="Book Antiqua" w:hAnsi="Book Antiqua"/>
          <w:lang w:val="es-PR"/>
        </w:rPr>
      </w:pPr>
      <w:r w:rsidRPr="00D14EA8">
        <w:rPr>
          <w:rStyle w:val="FootnoteReference"/>
          <w:rFonts w:ascii="Book Antiqua" w:hAnsi="Book Antiqua"/>
        </w:rPr>
        <w:footnoteRef/>
      </w:r>
      <w:r w:rsidRPr="00D14EA8">
        <w:rPr>
          <w:rFonts w:ascii="Book Antiqua" w:hAnsi="Book Antiqua"/>
          <w:lang w:val="es-PR"/>
        </w:rPr>
        <w:t xml:space="preserve"> </w:t>
      </w:r>
      <w:r w:rsidRPr="00D14EA8">
        <w:rPr>
          <w:rFonts w:ascii="Book Antiqua" w:hAnsi="Book Antiqua"/>
          <w:lang w:val="es-PR"/>
        </w:rPr>
        <w:tab/>
      </w:r>
      <w:r w:rsidR="00E35F9C">
        <w:rPr>
          <w:rFonts w:ascii="Book Antiqua" w:hAnsi="Book Antiqua"/>
          <w:i/>
          <w:szCs w:val="24"/>
          <w:lang w:val="es-ES_tradnl"/>
        </w:rPr>
        <w:t xml:space="preserve">Peña </w:t>
      </w:r>
      <w:proofErr w:type="spellStart"/>
      <w:r w:rsidR="00E35F9C">
        <w:rPr>
          <w:rFonts w:ascii="Book Antiqua" w:hAnsi="Book Antiqua"/>
          <w:i/>
          <w:szCs w:val="24"/>
          <w:lang w:val="es-ES_tradnl"/>
        </w:rPr>
        <w:t>Clós</w:t>
      </w:r>
      <w:proofErr w:type="spellEnd"/>
      <w:r w:rsidR="00E35F9C">
        <w:rPr>
          <w:rFonts w:ascii="Book Antiqua" w:hAnsi="Book Antiqua"/>
          <w:i/>
          <w:szCs w:val="24"/>
          <w:lang w:val="es-ES_tradnl"/>
        </w:rPr>
        <w:t xml:space="preserve"> v. Cartagena Orti</w:t>
      </w:r>
      <w:r w:rsidRPr="00D14EA8">
        <w:rPr>
          <w:rFonts w:ascii="Book Antiqua" w:hAnsi="Book Antiqua"/>
          <w:i/>
          <w:szCs w:val="24"/>
          <w:lang w:val="es-ES_tradnl"/>
        </w:rPr>
        <w:t>z</w:t>
      </w:r>
      <w:r w:rsidRPr="00D14EA8">
        <w:rPr>
          <w:rFonts w:ascii="Book Antiqua" w:hAnsi="Book Antiqua"/>
          <w:szCs w:val="24"/>
          <w:lang w:val="es-ES_tradnl"/>
        </w:rPr>
        <w:t>, 114 DPR 576 (1983).</w:t>
      </w:r>
    </w:p>
  </w:footnote>
  <w:footnote w:id="2">
    <w:p w14:paraId="1CC5F16D" w14:textId="77777777" w:rsidR="00D14EA8" w:rsidRPr="00D14EA8" w:rsidRDefault="00D14EA8" w:rsidP="00D14EA8">
      <w:pPr>
        <w:pStyle w:val="FootnoteText"/>
        <w:tabs>
          <w:tab w:val="left" w:pos="360"/>
        </w:tabs>
        <w:rPr>
          <w:rFonts w:ascii="Book Antiqua" w:hAnsi="Book Antiqua"/>
          <w:lang w:val="es-PR"/>
        </w:rPr>
      </w:pPr>
      <w:r w:rsidRPr="00D14EA8">
        <w:rPr>
          <w:rStyle w:val="FootnoteReference"/>
          <w:rFonts w:ascii="Book Antiqua" w:hAnsi="Book Antiqua"/>
        </w:rPr>
        <w:footnoteRef/>
      </w:r>
      <w:r w:rsidRPr="00D14EA8">
        <w:rPr>
          <w:rFonts w:ascii="Book Antiqua" w:hAnsi="Book Antiqua"/>
          <w:lang w:val="es-PR"/>
        </w:rPr>
        <w:t xml:space="preserve"> </w:t>
      </w:r>
      <w:r w:rsidRPr="00D14EA8">
        <w:rPr>
          <w:rFonts w:ascii="Book Antiqua" w:hAnsi="Book Antiqua"/>
          <w:lang w:val="es-PR"/>
        </w:rPr>
        <w:tab/>
      </w:r>
      <w:r w:rsidRPr="00D14EA8">
        <w:rPr>
          <w:rFonts w:ascii="Book Antiqua" w:hAnsi="Book Antiqua"/>
          <w:i/>
          <w:szCs w:val="24"/>
          <w:lang w:val="es-ES_tradnl"/>
        </w:rPr>
        <w:t>Rullán v. Fas Alzamora</w:t>
      </w:r>
      <w:r w:rsidRPr="00D14EA8">
        <w:rPr>
          <w:rFonts w:ascii="Book Antiqua" w:hAnsi="Book Antiqua"/>
          <w:szCs w:val="24"/>
          <w:lang w:val="es-ES_tradnl"/>
        </w:rPr>
        <w:t>, 166 DPR 742 (2006).</w:t>
      </w:r>
    </w:p>
  </w:footnote>
  <w:footnote w:id="3">
    <w:p w14:paraId="70CBA355" w14:textId="77777777" w:rsidR="00D14EA8" w:rsidRPr="000F484B" w:rsidRDefault="00D14EA8" w:rsidP="00D14EA8">
      <w:pPr>
        <w:pStyle w:val="FootnoteText"/>
        <w:tabs>
          <w:tab w:val="left" w:pos="360"/>
        </w:tabs>
        <w:rPr>
          <w:lang w:val="es-PR"/>
        </w:rPr>
      </w:pPr>
      <w:r>
        <w:rPr>
          <w:rStyle w:val="FootnoteReference"/>
        </w:rPr>
        <w:footnoteRef/>
      </w:r>
      <w:r w:rsidRPr="00D14EA8">
        <w:rPr>
          <w:lang w:val="es-PR"/>
        </w:rPr>
        <w:t xml:space="preserve"> </w:t>
      </w:r>
      <w:r w:rsidRPr="00D14EA8">
        <w:rPr>
          <w:lang w:val="es-PR"/>
        </w:rPr>
        <w:tab/>
      </w:r>
      <w:r w:rsidRPr="005B4E2A">
        <w:rPr>
          <w:rFonts w:ascii="Book Antiqua" w:hAnsi="Book Antiqua"/>
          <w:i/>
          <w:szCs w:val="24"/>
          <w:lang w:val="es-ES_tradnl"/>
        </w:rPr>
        <w:t xml:space="preserve">Peña </w:t>
      </w:r>
      <w:proofErr w:type="spellStart"/>
      <w:r w:rsidRPr="005B4E2A">
        <w:rPr>
          <w:rFonts w:ascii="Book Antiqua" w:hAnsi="Book Antiqua"/>
          <w:i/>
          <w:szCs w:val="24"/>
          <w:lang w:val="es-ES_tradnl"/>
        </w:rPr>
        <w:t>Clós</w:t>
      </w:r>
      <w:proofErr w:type="spellEnd"/>
      <w:r w:rsidRPr="00CB07BD">
        <w:rPr>
          <w:rFonts w:ascii="Book Antiqua" w:hAnsi="Book Antiqua"/>
          <w:szCs w:val="24"/>
          <w:lang w:val="es-ES_tradnl"/>
        </w:rPr>
        <w:t xml:space="preserve">, </w:t>
      </w:r>
      <w:r w:rsidRPr="00BC00F1">
        <w:rPr>
          <w:rFonts w:ascii="Book Antiqua" w:hAnsi="Book Antiqua"/>
          <w:i/>
          <w:szCs w:val="24"/>
          <w:lang w:val="es-ES_tradnl"/>
        </w:rPr>
        <w:t>supra</w:t>
      </w:r>
      <w:r w:rsidR="000F484B" w:rsidRPr="000F484B">
        <w:rPr>
          <w:rFonts w:ascii="Book Antiqua" w:hAnsi="Book Antiqua"/>
          <w:szCs w:val="24"/>
          <w:lang w:val="es-ES_tradnl"/>
        </w:rPr>
        <w:t>, p</w:t>
      </w:r>
      <w:r w:rsidR="000F484B" w:rsidRPr="000F484B">
        <w:rPr>
          <w:rFonts w:ascii="Book Antiqua" w:hAnsi="Book Antiqua"/>
          <w:szCs w:val="24"/>
          <w:lang w:val="es-PR"/>
        </w:rPr>
        <w:t>ág. 589. (citas omitidas)</w:t>
      </w:r>
    </w:p>
  </w:footnote>
  <w:footnote w:id="4">
    <w:p w14:paraId="4F45F1AF" w14:textId="77777777" w:rsidR="001F3ACA" w:rsidRPr="008D5A1F" w:rsidRDefault="001F3ACA" w:rsidP="00D45799">
      <w:pPr>
        <w:tabs>
          <w:tab w:val="left" w:pos="360"/>
        </w:tabs>
        <w:spacing w:before="120" w:after="120"/>
        <w:jc w:val="both"/>
        <w:rPr>
          <w:rFonts w:ascii="Book Antiqua" w:hAnsi="Book Antiqua"/>
          <w:sz w:val="20"/>
          <w:lang w:val="es-ES_tradnl"/>
        </w:rPr>
      </w:pPr>
      <w:r w:rsidRPr="008D5A1F">
        <w:rPr>
          <w:rStyle w:val="FootnoteReference"/>
          <w:rFonts w:ascii="Book Antiqua" w:hAnsi="Book Antiqua"/>
          <w:sz w:val="20"/>
        </w:rPr>
        <w:footnoteRef/>
      </w:r>
      <w:r w:rsidRPr="008D5A1F">
        <w:rPr>
          <w:rFonts w:ascii="Book Antiqua" w:hAnsi="Book Antiqua"/>
          <w:sz w:val="20"/>
          <w:lang w:val="es-PR"/>
        </w:rPr>
        <w:t xml:space="preserve"> </w:t>
      </w:r>
      <w:r w:rsidRPr="008D5A1F">
        <w:rPr>
          <w:rFonts w:ascii="Book Antiqua" w:hAnsi="Book Antiqua"/>
          <w:sz w:val="20"/>
          <w:lang w:val="es-PR"/>
        </w:rPr>
        <w:tab/>
      </w:r>
      <w:r w:rsidRPr="008D5A1F">
        <w:rPr>
          <w:rFonts w:ascii="Book Antiqua" w:hAnsi="Book Antiqua"/>
          <w:i/>
          <w:sz w:val="20"/>
          <w:lang w:val="es-ES_tradnl"/>
        </w:rPr>
        <w:t xml:space="preserve">Peña </w:t>
      </w:r>
      <w:proofErr w:type="spellStart"/>
      <w:r w:rsidRPr="008D5A1F">
        <w:rPr>
          <w:rFonts w:ascii="Book Antiqua" w:hAnsi="Book Antiqua"/>
          <w:i/>
          <w:sz w:val="20"/>
          <w:lang w:val="es-ES_tradnl"/>
        </w:rPr>
        <w:t>Clós</w:t>
      </w:r>
      <w:proofErr w:type="spellEnd"/>
      <w:r w:rsidRPr="008D5A1F">
        <w:rPr>
          <w:rFonts w:ascii="Book Antiqua" w:hAnsi="Book Antiqua"/>
          <w:i/>
          <w:sz w:val="20"/>
          <w:lang w:val="es-ES_tradnl"/>
        </w:rPr>
        <w:t xml:space="preserve"> v. Cartagena Ortiz</w:t>
      </w:r>
      <w:r w:rsidRPr="008D5A1F">
        <w:rPr>
          <w:rFonts w:ascii="Book Antiqua" w:hAnsi="Book Antiqua"/>
          <w:sz w:val="20"/>
          <w:lang w:val="es-ES_tradnl"/>
        </w:rPr>
        <w:t xml:space="preserve">, </w:t>
      </w:r>
      <w:r w:rsidRPr="008D5A1F">
        <w:rPr>
          <w:rFonts w:ascii="Book Antiqua" w:hAnsi="Book Antiqua"/>
          <w:i/>
          <w:sz w:val="20"/>
          <w:lang w:val="es-ES_tradnl"/>
        </w:rPr>
        <w:t>supra</w:t>
      </w:r>
      <w:r w:rsidRPr="008D5A1F">
        <w:rPr>
          <w:rFonts w:ascii="Book Antiqua" w:hAnsi="Book Antiqua"/>
          <w:sz w:val="20"/>
          <w:lang w:val="es-ES_tradnl"/>
        </w:rPr>
        <w:t xml:space="preserve">, págs. </w:t>
      </w:r>
      <w:r w:rsidR="00D60C49" w:rsidRPr="008D5A1F">
        <w:rPr>
          <w:rFonts w:ascii="Book Antiqua" w:hAnsi="Book Antiqua"/>
          <w:sz w:val="20"/>
          <w:lang w:val="es-ES_tradnl"/>
        </w:rPr>
        <w:t>587-588.</w:t>
      </w:r>
    </w:p>
  </w:footnote>
  <w:footnote w:id="5">
    <w:p w14:paraId="49559F84" w14:textId="77777777" w:rsidR="00D60C49" w:rsidRPr="008D5A1F" w:rsidRDefault="00D60C49" w:rsidP="00D45799">
      <w:pPr>
        <w:pStyle w:val="FootnoteText"/>
        <w:tabs>
          <w:tab w:val="left" w:pos="360"/>
        </w:tabs>
        <w:jc w:val="both"/>
        <w:rPr>
          <w:rFonts w:ascii="Book Antiqua" w:hAnsi="Book Antiqua"/>
          <w:lang w:val="es-PR"/>
        </w:rPr>
      </w:pPr>
      <w:r w:rsidRPr="008D5A1F">
        <w:rPr>
          <w:rStyle w:val="FootnoteReference"/>
          <w:rFonts w:ascii="Book Antiqua" w:hAnsi="Book Antiqua"/>
        </w:rPr>
        <w:footnoteRef/>
      </w:r>
      <w:r w:rsidRPr="008D5A1F">
        <w:rPr>
          <w:rFonts w:ascii="Book Antiqua" w:hAnsi="Book Antiqua"/>
          <w:lang w:val="es-PR"/>
        </w:rPr>
        <w:t xml:space="preserve"> </w:t>
      </w:r>
      <w:r w:rsidRPr="008D5A1F">
        <w:rPr>
          <w:rFonts w:ascii="Book Antiqua" w:hAnsi="Book Antiqua"/>
          <w:lang w:val="es-PR"/>
        </w:rPr>
        <w:tab/>
      </w:r>
      <w:r w:rsidRPr="008D5A1F">
        <w:rPr>
          <w:rFonts w:ascii="Book Antiqua" w:hAnsi="Book Antiqua"/>
          <w:i/>
          <w:lang w:val="es-ES_tradnl"/>
        </w:rPr>
        <w:t>Rullán v. Fas Alzamora</w:t>
      </w:r>
      <w:r w:rsidRPr="008D5A1F">
        <w:rPr>
          <w:rFonts w:ascii="Book Antiqua" w:hAnsi="Book Antiqua"/>
          <w:lang w:val="es-ES_tradnl"/>
        </w:rPr>
        <w:t>, 166 DPR 742 (2006).</w:t>
      </w:r>
    </w:p>
  </w:footnote>
  <w:footnote w:id="6">
    <w:p w14:paraId="74D555BB" w14:textId="77777777" w:rsidR="008D5A1F" w:rsidRPr="008D5A1F" w:rsidRDefault="008D5A1F" w:rsidP="008D5A1F">
      <w:pPr>
        <w:pStyle w:val="FootnoteText"/>
        <w:tabs>
          <w:tab w:val="left" w:pos="360"/>
        </w:tabs>
        <w:ind w:left="360" w:hanging="360"/>
        <w:jc w:val="both"/>
        <w:rPr>
          <w:rFonts w:ascii="Book Antiqua" w:hAnsi="Book Antiqua"/>
          <w:lang w:val="es-PR"/>
        </w:rPr>
      </w:pPr>
      <w:r w:rsidRPr="008D5A1F">
        <w:rPr>
          <w:rStyle w:val="FootnoteReference"/>
          <w:rFonts w:ascii="Book Antiqua" w:hAnsi="Book Antiqua"/>
        </w:rPr>
        <w:footnoteRef/>
      </w:r>
      <w:r w:rsidRPr="008D5A1F">
        <w:rPr>
          <w:rFonts w:ascii="Book Antiqua" w:hAnsi="Book Antiqua"/>
          <w:lang w:val="es-PR"/>
        </w:rPr>
        <w:t xml:space="preserve"> </w:t>
      </w:r>
      <w:r w:rsidRPr="008D5A1F">
        <w:rPr>
          <w:rFonts w:ascii="Book Antiqua" w:hAnsi="Book Antiqua"/>
          <w:lang w:val="es-PR"/>
        </w:rPr>
        <w:tab/>
      </w:r>
      <w:r w:rsidRPr="008D5A1F">
        <w:rPr>
          <w:rFonts w:ascii="Book Antiqua" w:hAnsi="Book Antiqua"/>
          <w:i/>
          <w:szCs w:val="24"/>
          <w:lang w:val="es-ES_tradnl"/>
        </w:rPr>
        <w:t>Junta de Retiro de la UPR v. Junta de Gobierno de la UPR</w:t>
      </w:r>
      <w:r w:rsidRPr="008D5A1F">
        <w:rPr>
          <w:rFonts w:ascii="Book Antiqua" w:hAnsi="Book Antiqua"/>
          <w:szCs w:val="24"/>
          <w:lang w:val="es-ES_tradnl"/>
        </w:rPr>
        <w:t>, KLAN201900304 CONS. CON KLCE201900366, 2020 PR App. LEXIS 1688 (TA PR 30 de septiembre de 2020)</w:t>
      </w:r>
      <w:r>
        <w:rPr>
          <w:rFonts w:ascii="Book Antiqua" w:hAnsi="Book Antiqua"/>
          <w:szCs w:val="24"/>
          <w:lang w:val="es-ES_tradnl"/>
        </w:rPr>
        <w:t>, pág. 72. (énfasis nuestro)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F06D0" w14:textId="77777777" w:rsidR="00FC42EE" w:rsidRDefault="00FC42EE">
    <w:pPr>
      <w:pStyle w:val="Header"/>
      <w:jc w:val="center"/>
    </w:pPr>
    <w:r>
      <w:rPr>
        <w:rStyle w:val="PageNumber"/>
      </w:rPr>
      <w:fldChar w:fldCharType="begin"/>
    </w:r>
    <w:r>
      <w:rPr>
        <w:rStyle w:val="PageNumber"/>
      </w:rPr>
      <w:instrText xml:space="preserve"> PAGE </w:instrText>
    </w:r>
    <w:r>
      <w:rPr>
        <w:rStyle w:val="PageNumber"/>
      </w:rPr>
      <w:fldChar w:fldCharType="separate"/>
    </w:r>
    <w:r w:rsidR="00675D58">
      <w:rPr>
        <w:rStyle w:val="PageNumber"/>
        <w:noProof/>
      </w:rPr>
      <w:t>3</w:t>
    </w:r>
    <w:r>
      <w:rPr>
        <w:rStyle w:val="PageNumber"/>
      </w:rPr>
      <w:fldChar w:fldCharType="end"/>
    </w:r>
  </w:p>
  <w:p w14:paraId="02CF3635" w14:textId="77777777" w:rsidR="00485EBD" w:rsidRDefault="00485EB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EE"/>
    <w:rsid w:val="000F1663"/>
    <w:rsid w:val="000F484B"/>
    <w:rsid w:val="00114D0F"/>
    <w:rsid w:val="001F3ACA"/>
    <w:rsid w:val="0025608B"/>
    <w:rsid w:val="002B6593"/>
    <w:rsid w:val="002D4448"/>
    <w:rsid w:val="00321130"/>
    <w:rsid w:val="00414768"/>
    <w:rsid w:val="004568D3"/>
    <w:rsid w:val="004749B5"/>
    <w:rsid w:val="00485EBD"/>
    <w:rsid w:val="00542CBA"/>
    <w:rsid w:val="005600D9"/>
    <w:rsid w:val="005A1336"/>
    <w:rsid w:val="005B4E2A"/>
    <w:rsid w:val="00675D58"/>
    <w:rsid w:val="00704181"/>
    <w:rsid w:val="00761EE6"/>
    <w:rsid w:val="00783F61"/>
    <w:rsid w:val="008D5A1F"/>
    <w:rsid w:val="0090035F"/>
    <w:rsid w:val="009725C8"/>
    <w:rsid w:val="00A05ED0"/>
    <w:rsid w:val="00A2479E"/>
    <w:rsid w:val="00A35B97"/>
    <w:rsid w:val="00A7644F"/>
    <w:rsid w:val="00AA353C"/>
    <w:rsid w:val="00AC6A47"/>
    <w:rsid w:val="00B26A0D"/>
    <w:rsid w:val="00B53EEF"/>
    <w:rsid w:val="00B625A6"/>
    <w:rsid w:val="00B661D8"/>
    <w:rsid w:val="00B803D2"/>
    <w:rsid w:val="00BC00F1"/>
    <w:rsid w:val="00BD506D"/>
    <w:rsid w:val="00C3294F"/>
    <w:rsid w:val="00CB07BD"/>
    <w:rsid w:val="00CD7130"/>
    <w:rsid w:val="00D14EA8"/>
    <w:rsid w:val="00D27A10"/>
    <w:rsid w:val="00D45799"/>
    <w:rsid w:val="00D60C49"/>
    <w:rsid w:val="00D94213"/>
    <w:rsid w:val="00E26856"/>
    <w:rsid w:val="00E35F9C"/>
    <w:rsid w:val="00E650C8"/>
    <w:rsid w:val="00EE3B49"/>
    <w:rsid w:val="00EF7DC9"/>
    <w:rsid w:val="00F06018"/>
    <w:rsid w:val="00F43D21"/>
    <w:rsid w:val="00F9172E"/>
    <w:rsid w:val="00FA389C"/>
    <w:rsid w:val="00FB0984"/>
    <w:rsid w:val="00FC42EE"/>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B2AE"/>
  <w15:chartTrackingRefBased/>
  <w15:docId w15:val="{1C79E614-12CB-4C17-8A78-ADC3972D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EE"/>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next w:val="Normal"/>
    <w:rsid w:val="00FC42EE"/>
    <w:pPr>
      <w:tabs>
        <w:tab w:val="left" w:pos="648"/>
        <w:tab w:val="right" w:pos="7776"/>
        <w:tab w:val="left" w:pos="7848"/>
      </w:tabs>
    </w:pPr>
  </w:style>
  <w:style w:type="paragraph" w:styleId="Header">
    <w:name w:val="header"/>
    <w:basedOn w:val="Normal"/>
    <w:link w:val="HeaderChar"/>
    <w:rsid w:val="00FC42EE"/>
    <w:pPr>
      <w:tabs>
        <w:tab w:val="center" w:pos="4320"/>
        <w:tab w:val="right" w:pos="8640"/>
      </w:tabs>
    </w:pPr>
  </w:style>
  <w:style w:type="character" w:customStyle="1" w:styleId="HeaderChar">
    <w:name w:val="Header Char"/>
    <w:basedOn w:val="DefaultParagraphFont"/>
    <w:link w:val="Header"/>
    <w:rsid w:val="00FC42EE"/>
    <w:rPr>
      <w:rFonts w:ascii="Times New Roman" w:eastAsia="Times New Roman" w:hAnsi="Times New Roman" w:cs="Times New Roman"/>
      <w:sz w:val="24"/>
      <w:szCs w:val="20"/>
      <w:lang w:val="en-US"/>
    </w:rPr>
  </w:style>
  <w:style w:type="character" w:styleId="PageNumber">
    <w:name w:val="page number"/>
    <w:basedOn w:val="DefaultParagraphFont"/>
    <w:rsid w:val="00FC42EE"/>
  </w:style>
  <w:style w:type="paragraph" w:styleId="FootnoteText">
    <w:name w:val="footnote text"/>
    <w:basedOn w:val="Normal"/>
    <w:link w:val="FootnoteTextChar"/>
    <w:rsid w:val="00FC42EE"/>
    <w:rPr>
      <w:sz w:val="20"/>
    </w:rPr>
  </w:style>
  <w:style w:type="character" w:customStyle="1" w:styleId="FootnoteTextChar">
    <w:name w:val="Footnote Text Char"/>
    <w:basedOn w:val="DefaultParagraphFont"/>
    <w:link w:val="FootnoteText"/>
    <w:rsid w:val="00FC42EE"/>
    <w:rPr>
      <w:rFonts w:ascii="Times New Roman" w:eastAsia="Times New Roman" w:hAnsi="Times New Roman" w:cs="Times New Roman"/>
      <w:sz w:val="20"/>
      <w:szCs w:val="20"/>
      <w:lang w:val="en-US"/>
    </w:rPr>
  </w:style>
  <w:style w:type="character" w:styleId="FootnoteReference">
    <w:name w:val="footnote reference"/>
    <w:rsid w:val="00FC42EE"/>
    <w:rPr>
      <w:vertAlign w:val="superscript"/>
    </w:rPr>
  </w:style>
  <w:style w:type="character" w:styleId="LineNumber">
    <w:name w:val="line number"/>
    <w:basedOn w:val="DefaultParagraphFont"/>
    <w:uiPriority w:val="99"/>
    <w:semiHidden/>
    <w:unhideWhenUsed/>
    <w:rsid w:val="00FC42EE"/>
  </w:style>
  <w:style w:type="character" w:customStyle="1" w:styleId="ssbu">
    <w:name w:val="ss_bu"/>
    <w:basedOn w:val="DefaultParagraphFont"/>
    <w:rsid w:val="008D5A1F"/>
  </w:style>
  <w:style w:type="paragraph" w:styleId="BalloonText">
    <w:name w:val="Balloon Text"/>
    <w:basedOn w:val="Normal"/>
    <w:link w:val="BalloonTextChar"/>
    <w:uiPriority w:val="99"/>
    <w:semiHidden/>
    <w:unhideWhenUsed/>
    <w:rsid w:val="00FB0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98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F0322-4481-4D8B-8EEB-1D1B38A1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Coll</dc:creator>
  <cp:keywords/>
  <dc:description/>
  <cp:lastModifiedBy>Gladys J. Burgos Torres</cp:lastModifiedBy>
  <cp:revision>3</cp:revision>
  <cp:lastPrinted>2022-02-22T12:34:00Z</cp:lastPrinted>
  <dcterms:created xsi:type="dcterms:W3CDTF">2022-02-22T17:30:00Z</dcterms:created>
  <dcterms:modified xsi:type="dcterms:W3CDTF">2022-02-22T19:43:00Z</dcterms:modified>
</cp:coreProperties>
</file>