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3D70" w14:textId="77777777" w:rsidR="002670C1" w:rsidRPr="00A404AD" w:rsidRDefault="009A67D1" w:rsidP="002670C1">
      <w:pPr>
        <w:jc w:val="center"/>
        <w:rPr>
          <w:rFonts w:ascii="Book Antiqua" w:hAnsi="Book Antiqua"/>
          <w:b/>
          <w:sz w:val="28"/>
          <w:szCs w:val="28"/>
          <w:lang w:val="es-ES_tradnl"/>
        </w:rPr>
      </w:pPr>
      <w:r>
        <w:rPr>
          <w:rFonts w:ascii="Book Antiqua" w:hAnsi="Book Antiqua"/>
          <w:b/>
          <w:sz w:val="28"/>
          <w:szCs w:val="28"/>
          <w:lang w:val="es-ES_tradnl"/>
        </w:rPr>
        <w:t xml:space="preserve">                                                                                                                                                                                                                                                                                </w:t>
      </w:r>
      <w:r w:rsidR="002670C1" w:rsidRPr="00A404AD">
        <w:rPr>
          <w:rFonts w:ascii="Book Antiqua" w:hAnsi="Book Antiqua"/>
          <w:b/>
          <w:sz w:val="28"/>
          <w:szCs w:val="28"/>
          <w:lang w:val="es-ES_tradnl"/>
        </w:rPr>
        <w:t>ESTADO LIBRE ASOCIADO DE PUERTO RICO</w:t>
      </w:r>
    </w:p>
    <w:p w14:paraId="2C6AAED5" w14:textId="77777777" w:rsidR="002670C1" w:rsidRPr="00A404AD" w:rsidRDefault="002670C1" w:rsidP="002670C1">
      <w:pPr>
        <w:tabs>
          <w:tab w:val="left" w:pos="5080"/>
        </w:tabs>
        <w:jc w:val="center"/>
        <w:rPr>
          <w:rFonts w:ascii="Book Antiqua" w:hAnsi="Book Antiqua"/>
          <w:lang w:val="es-ES_tradnl"/>
        </w:rPr>
      </w:pPr>
    </w:p>
    <w:p w14:paraId="13C1DD40" w14:textId="04EAD3AF" w:rsidR="002670C1" w:rsidRPr="00A404AD" w:rsidRDefault="00445CFE" w:rsidP="00632DBA">
      <w:pPr>
        <w:pStyle w:val="Title2"/>
        <w:tabs>
          <w:tab w:val="clear" w:pos="7776"/>
          <w:tab w:val="clear" w:pos="7848"/>
          <w:tab w:val="right" w:pos="8640"/>
          <w:tab w:val="left" w:pos="9180"/>
        </w:tabs>
        <w:rPr>
          <w:rFonts w:ascii="Book Antiqua" w:hAnsi="Book Antiqua"/>
          <w:szCs w:val="24"/>
          <w:lang w:val="es-ES_tradnl"/>
        </w:rPr>
      </w:pPr>
      <w:r>
        <w:rPr>
          <w:rFonts w:ascii="Book Antiqua" w:hAnsi="Book Antiqua"/>
          <w:szCs w:val="24"/>
          <w:lang w:val="es-ES_tradnl"/>
        </w:rPr>
        <w:t>19n</w:t>
      </w:r>
      <w:r w:rsidR="002670C1" w:rsidRPr="00A404AD">
        <w:rPr>
          <w:rFonts w:ascii="Book Antiqua" w:hAnsi="Book Antiqua"/>
          <w:szCs w:val="24"/>
          <w:lang w:val="es-ES_tradnl"/>
        </w:rPr>
        <w:t>a. Asamblea</w:t>
      </w:r>
      <w:r w:rsidR="002670C1" w:rsidRPr="00A404AD">
        <w:rPr>
          <w:rFonts w:ascii="Book Antiqua" w:hAnsi="Book Antiqua"/>
          <w:szCs w:val="24"/>
          <w:lang w:val="es-ES_tradnl"/>
        </w:rPr>
        <w:tab/>
        <w:t xml:space="preserve">    </w:t>
      </w:r>
      <w:r>
        <w:rPr>
          <w:rFonts w:ascii="Book Antiqua" w:hAnsi="Book Antiqua"/>
          <w:szCs w:val="24"/>
          <w:lang w:val="es-ES_tradnl"/>
        </w:rPr>
        <w:t xml:space="preserve">       </w:t>
      </w:r>
      <w:r w:rsidR="00632DBA">
        <w:rPr>
          <w:rFonts w:ascii="Book Antiqua" w:hAnsi="Book Antiqua"/>
          <w:szCs w:val="24"/>
          <w:lang w:val="es-ES_tradnl"/>
        </w:rPr>
        <w:t xml:space="preserve">  </w:t>
      </w:r>
      <w:r w:rsidR="00333BBC">
        <w:rPr>
          <w:rFonts w:ascii="Book Antiqua" w:hAnsi="Book Antiqua"/>
          <w:szCs w:val="24"/>
          <w:lang w:val="es-ES_tradnl"/>
        </w:rPr>
        <w:t>4t</w:t>
      </w:r>
      <w:r w:rsidR="002670C1" w:rsidRPr="00A404AD">
        <w:rPr>
          <w:rFonts w:ascii="Book Antiqua" w:hAnsi="Book Antiqua"/>
          <w:szCs w:val="24"/>
          <w:lang w:val="es-ES_tradnl"/>
        </w:rPr>
        <w:t>a. Sesión</w:t>
      </w:r>
    </w:p>
    <w:p w14:paraId="0F5198C0" w14:textId="77777777" w:rsidR="002670C1" w:rsidRPr="00A404AD" w:rsidRDefault="002670C1" w:rsidP="00632DBA">
      <w:pPr>
        <w:pStyle w:val="Title2"/>
        <w:tabs>
          <w:tab w:val="clear" w:pos="648"/>
          <w:tab w:val="left" w:pos="540"/>
          <w:tab w:val="left" w:pos="6930"/>
        </w:tabs>
        <w:rPr>
          <w:rFonts w:ascii="Book Antiqua" w:hAnsi="Book Antiqua"/>
          <w:szCs w:val="24"/>
          <w:lang w:val="es-ES_tradnl"/>
        </w:rPr>
      </w:pPr>
      <w:r w:rsidRPr="00A404AD">
        <w:rPr>
          <w:rFonts w:ascii="Book Antiqua" w:hAnsi="Book Antiqua"/>
          <w:szCs w:val="24"/>
          <w:lang w:val="es-ES_tradnl"/>
        </w:rPr>
        <w:tab/>
        <w:t>Legislativa</w:t>
      </w:r>
      <w:r w:rsidRPr="00A404AD">
        <w:rPr>
          <w:rFonts w:ascii="Book Antiqua" w:hAnsi="Book Antiqua"/>
          <w:szCs w:val="24"/>
          <w:lang w:val="es-ES_tradnl"/>
        </w:rPr>
        <w:tab/>
        <w:t xml:space="preserve">   </w:t>
      </w:r>
      <w:r w:rsidR="00632DBA">
        <w:rPr>
          <w:rFonts w:ascii="Book Antiqua" w:hAnsi="Book Antiqua"/>
          <w:szCs w:val="24"/>
          <w:lang w:val="es-ES_tradnl"/>
        </w:rPr>
        <w:t xml:space="preserve">       </w:t>
      </w:r>
      <w:r w:rsidRPr="00A404AD">
        <w:rPr>
          <w:rFonts w:ascii="Book Antiqua" w:hAnsi="Book Antiqua"/>
          <w:szCs w:val="24"/>
          <w:lang w:val="es-ES_tradnl"/>
        </w:rPr>
        <w:t xml:space="preserve"> </w:t>
      </w:r>
      <w:r w:rsidR="00632DBA">
        <w:rPr>
          <w:rFonts w:ascii="Book Antiqua" w:hAnsi="Book Antiqua"/>
          <w:szCs w:val="24"/>
          <w:lang w:val="es-ES_tradnl"/>
        </w:rPr>
        <w:t xml:space="preserve"> </w:t>
      </w:r>
      <w:r w:rsidRPr="00A404AD">
        <w:rPr>
          <w:rFonts w:ascii="Book Antiqua" w:hAnsi="Book Antiqua"/>
          <w:szCs w:val="24"/>
          <w:lang w:val="es-ES_tradnl"/>
        </w:rPr>
        <w:t>Ordinaria</w:t>
      </w:r>
    </w:p>
    <w:p w14:paraId="485DAF94" w14:textId="77777777" w:rsidR="002670C1" w:rsidRPr="00A404AD" w:rsidRDefault="002670C1" w:rsidP="002670C1">
      <w:pPr>
        <w:rPr>
          <w:rFonts w:ascii="Book Antiqua" w:hAnsi="Book Antiqua"/>
          <w:lang w:val="es-ES_tradnl"/>
        </w:rPr>
      </w:pPr>
    </w:p>
    <w:p w14:paraId="4D259296" w14:textId="77777777" w:rsidR="002670C1" w:rsidRPr="00A404AD" w:rsidRDefault="002670C1" w:rsidP="002670C1">
      <w:pPr>
        <w:rPr>
          <w:rFonts w:ascii="Book Antiqua" w:hAnsi="Book Antiqua"/>
          <w:lang w:val="es-ES_tradnl"/>
        </w:rPr>
      </w:pPr>
    </w:p>
    <w:p w14:paraId="35756BD2" w14:textId="77777777" w:rsidR="002670C1" w:rsidRPr="00A404AD" w:rsidRDefault="002670C1" w:rsidP="002670C1">
      <w:pPr>
        <w:jc w:val="center"/>
        <w:rPr>
          <w:rFonts w:ascii="Book Antiqua" w:hAnsi="Book Antiqua"/>
          <w:smallCaps/>
          <w:sz w:val="36"/>
          <w:szCs w:val="36"/>
          <w:lang w:val="es-PR"/>
        </w:rPr>
      </w:pPr>
      <w:r w:rsidRPr="00A404AD">
        <w:rPr>
          <w:rFonts w:ascii="Book Antiqua" w:hAnsi="Book Antiqua"/>
          <w:b/>
          <w:caps/>
          <w:sz w:val="36"/>
          <w:szCs w:val="36"/>
          <w:lang w:val="es-PR"/>
        </w:rPr>
        <w:t>CÁMARA DE REPRESENTANTES</w:t>
      </w:r>
    </w:p>
    <w:p w14:paraId="74B61D45" w14:textId="77777777" w:rsidR="002670C1" w:rsidRPr="00A404AD" w:rsidRDefault="002670C1" w:rsidP="002670C1">
      <w:pPr>
        <w:jc w:val="center"/>
        <w:rPr>
          <w:rFonts w:ascii="Book Antiqua" w:hAnsi="Book Antiqua" w:cs="Tahoma"/>
          <w:b/>
          <w:sz w:val="20"/>
          <w:szCs w:val="20"/>
          <w:lang w:val="es-PR"/>
        </w:rPr>
      </w:pPr>
    </w:p>
    <w:p w14:paraId="098DD2EF" w14:textId="77777777" w:rsidR="002670C1" w:rsidRPr="00A404AD" w:rsidRDefault="002670C1" w:rsidP="002670C1">
      <w:pPr>
        <w:jc w:val="center"/>
        <w:rPr>
          <w:rFonts w:ascii="Book Antiqua" w:hAnsi="Book Antiqua" w:cs="Tahoma"/>
          <w:b/>
          <w:sz w:val="20"/>
          <w:szCs w:val="20"/>
          <w:lang w:val="es-PR"/>
        </w:rPr>
      </w:pPr>
    </w:p>
    <w:p w14:paraId="20E1DFD6" w14:textId="5731BCF2" w:rsidR="002670C1" w:rsidRPr="00A404AD" w:rsidRDefault="002670C1" w:rsidP="002670C1">
      <w:pPr>
        <w:jc w:val="center"/>
        <w:rPr>
          <w:rFonts w:ascii="Book Antiqua" w:hAnsi="Book Antiqua" w:cs="Tahoma"/>
          <w:b/>
          <w:sz w:val="52"/>
          <w:szCs w:val="52"/>
          <w:lang w:val="es-PR"/>
        </w:rPr>
      </w:pPr>
      <w:r w:rsidRPr="00A404AD">
        <w:rPr>
          <w:rFonts w:ascii="Book Antiqua" w:hAnsi="Book Antiqua" w:cs="Tahoma"/>
          <w:b/>
          <w:sz w:val="52"/>
          <w:szCs w:val="52"/>
          <w:lang w:val="es-PR"/>
        </w:rPr>
        <w:t xml:space="preserve">R. DE LA C. </w:t>
      </w:r>
      <w:r w:rsidR="00333BBC">
        <w:rPr>
          <w:rFonts w:ascii="Book Antiqua" w:hAnsi="Book Antiqua" w:cs="Tahoma"/>
          <w:b/>
          <w:sz w:val="52"/>
          <w:szCs w:val="52"/>
          <w:lang w:val="es-PR"/>
        </w:rPr>
        <w:t>7</w:t>
      </w:r>
      <w:r w:rsidR="00103980">
        <w:rPr>
          <w:rFonts w:ascii="Book Antiqua" w:hAnsi="Book Antiqua" w:cs="Tahoma"/>
          <w:b/>
          <w:sz w:val="52"/>
          <w:szCs w:val="52"/>
          <w:lang w:val="es-PR"/>
        </w:rPr>
        <w:t>52</w:t>
      </w:r>
    </w:p>
    <w:p w14:paraId="1454D363" w14:textId="77777777" w:rsidR="002670C1" w:rsidRPr="00A404AD" w:rsidRDefault="002670C1" w:rsidP="002670C1">
      <w:pPr>
        <w:jc w:val="center"/>
        <w:rPr>
          <w:rFonts w:ascii="Book Antiqua" w:hAnsi="Book Antiqua" w:cs="Tahoma"/>
          <w:b/>
          <w:sz w:val="28"/>
          <w:szCs w:val="28"/>
          <w:lang w:val="es-PR"/>
        </w:rPr>
      </w:pPr>
      <w:r w:rsidRPr="00A404AD">
        <w:rPr>
          <w:rFonts w:ascii="Book Antiqua" w:hAnsi="Book Antiqua" w:cs="Tahoma"/>
          <w:b/>
          <w:sz w:val="28"/>
          <w:szCs w:val="28"/>
          <w:lang w:val="es-PR"/>
        </w:rPr>
        <w:t>INFORME</w:t>
      </w:r>
      <w:r w:rsidR="00632DBA">
        <w:rPr>
          <w:rFonts w:ascii="Book Antiqua" w:hAnsi="Book Antiqua" w:cs="Tahoma"/>
          <w:b/>
          <w:sz w:val="28"/>
          <w:szCs w:val="28"/>
          <w:lang w:val="es-PR"/>
        </w:rPr>
        <w:t xml:space="preserve"> POSITIVO</w:t>
      </w:r>
    </w:p>
    <w:p w14:paraId="153E2AC0" w14:textId="77777777" w:rsidR="002670C1" w:rsidRPr="00A404AD" w:rsidRDefault="002670C1" w:rsidP="002670C1">
      <w:pPr>
        <w:jc w:val="center"/>
        <w:rPr>
          <w:rFonts w:ascii="Book Antiqua" w:hAnsi="Book Antiqua" w:cs="Tahoma"/>
          <w:b/>
          <w:sz w:val="28"/>
          <w:szCs w:val="28"/>
          <w:lang w:val="es-PR"/>
        </w:rPr>
      </w:pPr>
    </w:p>
    <w:p w14:paraId="09D392E9" w14:textId="1A49FF8B" w:rsidR="002670C1" w:rsidRPr="00A404AD" w:rsidRDefault="002670C1" w:rsidP="002670C1">
      <w:pPr>
        <w:jc w:val="center"/>
        <w:rPr>
          <w:rFonts w:ascii="Book Antiqua" w:hAnsi="Book Antiqua" w:cs="Tahoma"/>
          <w:sz w:val="20"/>
          <w:szCs w:val="20"/>
          <w:lang w:val="es-PR"/>
        </w:rPr>
      </w:pPr>
      <w:r w:rsidRPr="00A404AD">
        <w:rPr>
          <w:rFonts w:ascii="Book Antiqua" w:hAnsi="Book Antiqua" w:cs="Tahoma"/>
          <w:lang w:val="es-PR"/>
        </w:rPr>
        <w:t xml:space="preserve">  </w:t>
      </w:r>
      <w:r w:rsidR="00C11CDD">
        <w:rPr>
          <w:rFonts w:ascii="Book Antiqua" w:hAnsi="Book Antiqua" w:cs="Tahoma"/>
          <w:lang w:val="es-PR"/>
        </w:rPr>
        <w:t>23</w:t>
      </w:r>
      <w:r w:rsidR="00BD5F6F" w:rsidRPr="00CD69DB">
        <w:rPr>
          <w:rFonts w:ascii="Book Antiqua" w:hAnsi="Book Antiqua" w:cs="Tahoma"/>
          <w:lang w:val="es-PR"/>
        </w:rPr>
        <w:t xml:space="preserve"> </w:t>
      </w:r>
      <w:r w:rsidRPr="00CD69DB">
        <w:rPr>
          <w:rFonts w:ascii="Book Antiqua" w:hAnsi="Book Antiqua" w:cs="Tahoma"/>
          <w:lang w:val="es-PR"/>
        </w:rPr>
        <w:t xml:space="preserve">de </w:t>
      </w:r>
      <w:r w:rsidR="00333BBC">
        <w:rPr>
          <w:rFonts w:ascii="Book Antiqua" w:hAnsi="Book Antiqua" w:cs="Tahoma"/>
          <w:lang w:val="es-PR"/>
        </w:rPr>
        <w:t>agosto</w:t>
      </w:r>
      <w:r w:rsidRPr="00CD69DB">
        <w:rPr>
          <w:rFonts w:ascii="Book Antiqua" w:hAnsi="Book Antiqua" w:cs="Tahoma"/>
          <w:lang w:val="es-PR"/>
        </w:rPr>
        <w:t xml:space="preserve"> de </w:t>
      </w:r>
      <w:r w:rsidR="00445CFE" w:rsidRPr="00CD69DB">
        <w:rPr>
          <w:rFonts w:ascii="Book Antiqua" w:hAnsi="Book Antiqua" w:cs="Tahoma"/>
          <w:lang w:val="es-PR"/>
        </w:rPr>
        <w:t>202</w:t>
      </w:r>
      <w:r w:rsidR="00333BBC">
        <w:rPr>
          <w:rFonts w:ascii="Book Antiqua" w:hAnsi="Book Antiqua" w:cs="Tahoma"/>
          <w:lang w:val="es-PR"/>
        </w:rPr>
        <w:t>2</w:t>
      </w:r>
    </w:p>
    <w:p w14:paraId="14B7A666" w14:textId="77777777" w:rsidR="00EF143E" w:rsidRPr="00A404AD" w:rsidRDefault="00EF143E" w:rsidP="002670C1">
      <w:pPr>
        <w:jc w:val="both"/>
        <w:rPr>
          <w:rFonts w:ascii="Book Antiqua" w:hAnsi="Book Antiqua" w:cs="Tahoma"/>
          <w:sz w:val="20"/>
          <w:szCs w:val="20"/>
          <w:lang w:val="es-PR"/>
        </w:rPr>
      </w:pPr>
    </w:p>
    <w:p w14:paraId="647761E8" w14:textId="77777777" w:rsidR="002670C1" w:rsidRPr="00A404AD" w:rsidRDefault="002670C1" w:rsidP="002670C1">
      <w:pPr>
        <w:jc w:val="both"/>
        <w:rPr>
          <w:rFonts w:ascii="Book Antiqua" w:hAnsi="Book Antiqua" w:cs="Tahoma"/>
          <w:b/>
          <w:lang w:val="es-PR"/>
        </w:rPr>
      </w:pPr>
      <w:r w:rsidRPr="00A404AD">
        <w:rPr>
          <w:rFonts w:ascii="Book Antiqua" w:hAnsi="Book Antiqua" w:cs="Tahoma"/>
          <w:b/>
          <w:lang w:val="es-PR"/>
        </w:rPr>
        <w:t>A LA CÁMARA DE REPRESENTANTES DE PUERTO RICO:</w:t>
      </w:r>
    </w:p>
    <w:p w14:paraId="52F3ECBA" w14:textId="77777777" w:rsidR="002670C1" w:rsidRPr="00A404AD" w:rsidRDefault="002670C1" w:rsidP="002670C1">
      <w:pPr>
        <w:jc w:val="both"/>
        <w:rPr>
          <w:rFonts w:ascii="Book Antiqua" w:hAnsi="Book Antiqua" w:cs="Tahoma"/>
          <w:lang w:val="es-PR"/>
        </w:rPr>
      </w:pPr>
    </w:p>
    <w:p w14:paraId="72CD878A" w14:textId="2D05C035" w:rsidR="00410C54" w:rsidRDefault="002670C1" w:rsidP="002670C1">
      <w:pPr>
        <w:jc w:val="both"/>
        <w:rPr>
          <w:rFonts w:ascii="Book Antiqua" w:hAnsi="Book Antiqua" w:cs="Tahoma"/>
          <w:lang w:val="es-PR"/>
        </w:rPr>
      </w:pPr>
      <w:r w:rsidRPr="00A404AD">
        <w:rPr>
          <w:rFonts w:ascii="Book Antiqua" w:hAnsi="Book Antiqua" w:cs="Tahoma"/>
          <w:lang w:val="es-PR"/>
        </w:rPr>
        <w:tab/>
        <w:t>La Comisión de Asuntos Internos de la Cámara de Representantes del Estado Libre Asociado de Puerto Rico,</w:t>
      </w:r>
      <w:r w:rsidR="009A67D1">
        <w:rPr>
          <w:rFonts w:ascii="Book Antiqua" w:hAnsi="Book Antiqua" w:cs="Tahoma"/>
          <w:lang w:val="es-PR"/>
        </w:rPr>
        <w:t xml:space="preserve"> previa investigación,</w:t>
      </w:r>
      <w:r w:rsidR="00476691">
        <w:rPr>
          <w:rFonts w:ascii="Book Antiqua" w:hAnsi="Book Antiqua" w:cs="Tahoma"/>
          <w:lang w:val="es-PR"/>
        </w:rPr>
        <w:t xml:space="preserve"> estudio y consideración</w:t>
      </w:r>
      <w:r w:rsidR="0062204F">
        <w:rPr>
          <w:rFonts w:ascii="Book Antiqua" w:hAnsi="Book Antiqua" w:cs="Tahoma"/>
          <w:lang w:val="es-PR"/>
        </w:rPr>
        <w:t xml:space="preserve"> de la R. de la C. </w:t>
      </w:r>
      <w:r w:rsidR="00103980">
        <w:rPr>
          <w:rFonts w:ascii="Book Antiqua" w:hAnsi="Book Antiqua" w:cs="Tahoma"/>
          <w:lang w:val="es-PR"/>
        </w:rPr>
        <w:t>752</w:t>
      </w:r>
      <w:r w:rsidR="00CD5EE6">
        <w:rPr>
          <w:rFonts w:ascii="Book Antiqua" w:hAnsi="Book Antiqua" w:cs="Tahoma"/>
          <w:lang w:val="es-PR"/>
        </w:rPr>
        <w:t>, de la autoría de</w:t>
      </w:r>
      <w:r w:rsidR="005E2A2E">
        <w:rPr>
          <w:rFonts w:ascii="Book Antiqua" w:hAnsi="Book Antiqua" w:cs="Tahoma"/>
          <w:lang w:val="es-PR"/>
        </w:rPr>
        <w:t xml:space="preserve"> l</w:t>
      </w:r>
      <w:r w:rsidR="00103980">
        <w:rPr>
          <w:rFonts w:ascii="Book Antiqua" w:hAnsi="Book Antiqua" w:cs="Tahoma"/>
          <w:lang w:val="es-PR"/>
        </w:rPr>
        <w:t>os</w:t>
      </w:r>
      <w:r w:rsidR="005E2A2E">
        <w:rPr>
          <w:rFonts w:ascii="Book Antiqua" w:hAnsi="Book Antiqua" w:cs="Tahoma"/>
          <w:lang w:val="es-PR"/>
        </w:rPr>
        <w:t xml:space="preserve"> </w:t>
      </w:r>
      <w:r w:rsidR="001F7BB5">
        <w:rPr>
          <w:rFonts w:ascii="Book Antiqua" w:hAnsi="Book Antiqua" w:cs="Tahoma"/>
          <w:lang w:val="es-PR"/>
        </w:rPr>
        <w:t>Representante</w:t>
      </w:r>
      <w:r w:rsidR="00103980">
        <w:rPr>
          <w:rFonts w:ascii="Book Antiqua" w:hAnsi="Book Antiqua" w:cs="Tahoma"/>
          <w:lang w:val="es-PR"/>
        </w:rPr>
        <w:t>s</w:t>
      </w:r>
      <w:r w:rsidR="001B4EF7">
        <w:rPr>
          <w:rFonts w:ascii="Book Antiqua" w:hAnsi="Book Antiqua" w:cs="Tahoma"/>
          <w:lang w:val="es-PR"/>
        </w:rPr>
        <w:t xml:space="preserve"> </w:t>
      </w:r>
      <w:r w:rsidR="00103980">
        <w:rPr>
          <w:rFonts w:ascii="Book Antiqua" w:hAnsi="Book Antiqua" w:cs="Tahoma"/>
          <w:lang w:val="es-PR"/>
        </w:rPr>
        <w:t>Ferrer Santiago, Ortiz González</w:t>
      </w:r>
      <w:r w:rsidR="001B4EF7">
        <w:rPr>
          <w:rFonts w:ascii="Book Antiqua" w:hAnsi="Book Antiqua" w:cs="Tahoma"/>
          <w:lang w:val="es-PR"/>
        </w:rPr>
        <w:t>,</w:t>
      </w:r>
      <w:r w:rsidR="00AB3BDD">
        <w:rPr>
          <w:rFonts w:ascii="Book Antiqua" w:hAnsi="Book Antiqua" w:cs="Tahoma"/>
          <w:lang w:val="es-PR"/>
        </w:rPr>
        <w:t xml:space="preserve"> Santiago Nieves, </w:t>
      </w:r>
      <w:proofErr w:type="spellStart"/>
      <w:r w:rsidR="00AB3BDD">
        <w:rPr>
          <w:rFonts w:ascii="Book Antiqua" w:hAnsi="Book Antiqua" w:cs="Tahoma"/>
          <w:lang w:val="es-PR"/>
        </w:rPr>
        <w:t>Charbonier</w:t>
      </w:r>
      <w:proofErr w:type="spellEnd"/>
      <w:r w:rsidR="00AB3BDD">
        <w:rPr>
          <w:rFonts w:ascii="Book Antiqua" w:hAnsi="Book Antiqua" w:cs="Tahoma"/>
          <w:lang w:val="es-PR"/>
        </w:rPr>
        <w:t xml:space="preserve"> Chinea, Lebrón Rodríguez, Márquez Reyes y Burgos Muñiz,</w:t>
      </w:r>
      <w:r w:rsidR="001B4EF7">
        <w:rPr>
          <w:rFonts w:ascii="Book Antiqua" w:hAnsi="Book Antiqua" w:cs="Tahoma"/>
          <w:lang w:val="es-PR"/>
        </w:rPr>
        <w:t xml:space="preserve"> </w:t>
      </w:r>
      <w:r w:rsidR="000E15AD">
        <w:rPr>
          <w:rFonts w:ascii="Book Antiqua" w:hAnsi="Book Antiqua" w:cs="Tahoma"/>
          <w:lang w:val="es-PR"/>
        </w:rPr>
        <w:t>tiene a bien someter su informe recom</w:t>
      </w:r>
      <w:r w:rsidRPr="00A404AD">
        <w:rPr>
          <w:rFonts w:ascii="Book Antiqua" w:hAnsi="Book Antiqua" w:cs="Tahoma"/>
          <w:lang w:val="es-PR"/>
        </w:rPr>
        <w:t>enda</w:t>
      </w:r>
      <w:r w:rsidR="000E15AD">
        <w:rPr>
          <w:rFonts w:ascii="Book Antiqua" w:hAnsi="Book Antiqua" w:cs="Tahoma"/>
          <w:lang w:val="es-PR"/>
        </w:rPr>
        <w:t>ndo</w:t>
      </w:r>
      <w:r w:rsidRPr="00A404AD">
        <w:rPr>
          <w:rFonts w:ascii="Book Antiqua" w:hAnsi="Book Antiqua" w:cs="Tahoma"/>
          <w:lang w:val="es-PR"/>
        </w:rPr>
        <w:t xml:space="preserve"> la </w:t>
      </w:r>
      <w:r w:rsidRPr="00F8240A">
        <w:rPr>
          <w:rFonts w:ascii="Book Antiqua" w:hAnsi="Book Antiqua" w:cs="Tahoma"/>
          <w:lang w:val="es-PR"/>
        </w:rPr>
        <w:t>aprobación</w:t>
      </w:r>
      <w:r w:rsidR="008E0870" w:rsidRPr="00F8240A">
        <w:rPr>
          <w:rFonts w:ascii="Book Antiqua" w:hAnsi="Book Antiqua" w:cs="Tahoma"/>
          <w:lang w:val="es-PR"/>
        </w:rPr>
        <w:t xml:space="preserve"> de la medida</w:t>
      </w:r>
      <w:r w:rsidR="00125266">
        <w:rPr>
          <w:rFonts w:ascii="Book Antiqua" w:hAnsi="Book Antiqua" w:cs="Tahoma"/>
          <w:lang w:val="es-PR"/>
        </w:rPr>
        <w:t>,</w:t>
      </w:r>
      <w:r w:rsidR="00021116">
        <w:rPr>
          <w:rFonts w:ascii="Book Antiqua" w:hAnsi="Book Antiqua" w:cs="Tahoma"/>
          <w:lang w:val="es-PR"/>
        </w:rPr>
        <w:t xml:space="preserve"> con</w:t>
      </w:r>
      <w:r w:rsidRPr="00F8240A">
        <w:rPr>
          <w:rFonts w:ascii="Book Antiqua" w:hAnsi="Book Antiqua" w:cs="Tahoma"/>
          <w:lang w:val="es-PR"/>
        </w:rPr>
        <w:t xml:space="preserve"> </w:t>
      </w:r>
      <w:r w:rsidR="00CD5EE6" w:rsidRPr="00F8240A">
        <w:rPr>
          <w:rFonts w:ascii="Book Antiqua" w:hAnsi="Book Antiqua" w:cs="Tahoma"/>
          <w:lang w:val="es-PR"/>
        </w:rPr>
        <w:t xml:space="preserve">las </w:t>
      </w:r>
      <w:r w:rsidRPr="00F8240A">
        <w:rPr>
          <w:rFonts w:ascii="Book Antiqua" w:hAnsi="Book Antiqua" w:cs="Tahoma"/>
          <w:lang w:val="es-PR"/>
        </w:rPr>
        <w:t>enmiendas</w:t>
      </w:r>
      <w:r w:rsidR="00CD5EE6" w:rsidRPr="00F8240A">
        <w:rPr>
          <w:rFonts w:ascii="Book Antiqua" w:hAnsi="Book Antiqua" w:cs="Tahoma"/>
          <w:lang w:val="es-PR"/>
        </w:rPr>
        <w:t xml:space="preserve"> contenidas en el entirillado electrónico que</w:t>
      </w:r>
      <w:r w:rsidR="000E15AD">
        <w:rPr>
          <w:rFonts w:ascii="Book Antiqua" w:hAnsi="Book Antiqua" w:cs="Tahoma"/>
          <w:lang w:val="es-PR"/>
        </w:rPr>
        <w:t xml:space="preserve"> </w:t>
      </w:r>
      <w:r w:rsidR="00125266">
        <w:rPr>
          <w:rFonts w:ascii="Book Antiqua" w:hAnsi="Book Antiqua" w:cs="Tahoma"/>
          <w:lang w:val="es-PR"/>
        </w:rPr>
        <w:t xml:space="preserve">se </w:t>
      </w:r>
      <w:r w:rsidR="00CD5EE6" w:rsidRPr="00F8240A">
        <w:rPr>
          <w:rFonts w:ascii="Book Antiqua" w:hAnsi="Book Antiqua" w:cs="Tahoma"/>
          <w:lang w:val="es-PR"/>
        </w:rPr>
        <w:t>acompaña</w:t>
      </w:r>
      <w:r w:rsidR="000E15AD">
        <w:rPr>
          <w:rFonts w:ascii="Book Antiqua" w:hAnsi="Book Antiqua" w:cs="Tahoma"/>
          <w:lang w:val="es-PR"/>
        </w:rPr>
        <w:t>, y cuyo título lee:</w:t>
      </w:r>
    </w:p>
    <w:p w14:paraId="51D5AF85" w14:textId="77777777" w:rsidR="000E15AD" w:rsidRDefault="000E15AD" w:rsidP="002670C1">
      <w:pPr>
        <w:jc w:val="both"/>
        <w:rPr>
          <w:rFonts w:ascii="Book Antiqua" w:hAnsi="Book Antiqua" w:cs="Tahoma"/>
          <w:lang w:val="es-PR"/>
        </w:rPr>
      </w:pPr>
    </w:p>
    <w:p w14:paraId="0DBB5ADC" w14:textId="776D35F7" w:rsidR="001D0161" w:rsidRPr="00455C2F" w:rsidRDefault="00EA0119" w:rsidP="00455C2F">
      <w:pPr>
        <w:ind w:left="720" w:hanging="720"/>
        <w:jc w:val="both"/>
        <w:rPr>
          <w:rFonts w:ascii="Book Antiqua" w:hAnsi="Book Antiqua"/>
          <w:strike/>
          <w:lang w:val="es-PR"/>
        </w:rPr>
      </w:pPr>
      <w:r>
        <w:rPr>
          <w:rFonts w:ascii="Book Antiqua" w:hAnsi="Book Antiqua"/>
          <w:lang w:val="es-ES_tradnl"/>
        </w:rPr>
        <w:t>“</w:t>
      </w:r>
      <w:bookmarkStart w:id="0" w:name="_Hlk105518775"/>
      <w:r w:rsidR="00AB3BDD">
        <w:rPr>
          <w:rFonts w:ascii="Book Antiqua" w:hAnsi="Book Antiqua"/>
          <w:lang w:val="es-ES_tradnl"/>
        </w:rPr>
        <w:t xml:space="preserve">Para </w:t>
      </w:r>
      <w:r w:rsidR="00AB3BDD" w:rsidRPr="003D0E18">
        <w:rPr>
          <w:rFonts w:ascii="Book Antiqua" w:hAnsi="Book Antiqua"/>
          <w:lang w:val="es-ES_tradnl"/>
        </w:rPr>
        <w:t xml:space="preserve">ordenar a las </w:t>
      </w:r>
      <w:r w:rsidR="00AB3BDD" w:rsidRPr="00AB3BDD">
        <w:rPr>
          <w:rFonts w:ascii="Book Antiqua" w:hAnsi="Book Antiqua"/>
          <w:lang w:val="es-ES_tradnl"/>
        </w:rPr>
        <w:t xml:space="preserve">Comisiones </w:t>
      </w:r>
      <w:r w:rsidR="00AB3BDD" w:rsidRPr="003D0E18">
        <w:rPr>
          <w:rFonts w:ascii="Book Antiqua" w:hAnsi="Book Antiqua"/>
          <w:lang w:val="es-ES_tradnl"/>
        </w:rPr>
        <w:t xml:space="preserve">de Asuntos de la Juventud y de Gobierno de la Cámara de Representantes del Estado Libre Asociado de Puerto Rico realizar una investigación y análisis sobre la situación actual de los préstamos estudiantiles en Puerto Rico y sus efectos en la calidad de vida y permanencia en el </w:t>
      </w:r>
      <w:r w:rsidR="00AB3BDD" w:rsidRPr="00AB3BDD">
        <w:rPr>
          <w:rFonts w:ascii="Book Antiqua" w:hAnsi="Book Antiqua"/>
          <w:lang w:val="es-ES_tradnl"/>
        </w:rPr>
        <w:t>país</w:t>
      </w:r>
      <w:r w:rsidR="00AB3BDD" w:rsidRPr="003D0E18">
        <w:rPr>
          <w:rFonts w:ascii="Book Antiqua" w:hAnsi="Book Antiqua"/>
          <w:lang w:val="es-ES_tradnl"/>
        </w:rPr>
        <w:t xml:space="preserve"> por parte de las personas deudoras, así como las políticas públicas existentes en Puerto Rico y las diseñadas en otros estados o territorios para atender la situación; y para otros fines</w:t>
      </w:r>
      <w:r w:rsidR="00333BBC">
        <w:rPr>
          <w:rFonts w:ascii="Book Antiqua" w:hAnsi="Book Antiqua"/>
          <w:spacing w:val="-3"/>
          <w:lang w:val="es-ES_tradnl"/>
        </w:rPr>
        <w:t>.</w:t>
      </w:r>
      <w:bookmarkEnd w:id="0"/>
      <w:r>
        <w:rPr>
          <w:rFonts w:ascii="Book Antiqua" w:hAnsi="Book Antiqua"/>
          <w:lang w:val="es-ES_tradnl"/>
        </w:rPr>
        <w:t>”</w:t>
      </w:r>
    </w:p>
    <w:p w14:paraId="67995FB8" w14:textId="77777777" w:rsidR="00EA0119" w:rsidRPr="002E6AB7" w:rsidRDefault="00EA0119" w:rsidP="002E6AB7">
      <w:pPr>
        <w:ind w:left="720" w:hanging="720"/>
        <w:jc w:val="both"/>
        <w:rPr>
          <w:rFonts w:ascii="Book Antiqua" w:hAnsi="Book Antiqua"/>
          <w:lang w:val="es-PR"/>
        </w:rPr>
      </w:pPr>
    </w:p>
    <w:p w14:paraId="01F9FFB9" w14:textId="77777777" w:rsidR="002670C1" w:rsidRDefault="002670C1" w:rsidP="00EF143E">
      <w:pPr>
        <w:jc w:val="center"/>
        <w:rPr>
          <w:rFonts w:ascii="Book Antiqua" w:hAnsi="Book Antiqua" w:cs="Tahoma"/>
          <w:b/>
          <w:u w:val="single"/>
          <w:lang w:val="es-PR"/>
        </w:rPr>
      </w:pPr>
      <w:r w:rsidRPr="00A404AD">
        <w:rPr>
          <w:rFonts w:ascii="Book Antiqua" w:hAnsi="Book Antiqua" w:cs="Tahoma"/>
          <w:b/>
          <w:u w:val="single"/>
          <w:lang w:val="es-PR"/>
        </w:rPr>
        <w:t>ALCANCE Y ANÁLISIS DE LA MEDIDA</w:t>
      </w:r>
    </w:p>
    <w:p w14:paraId="6ED40291" w14:textId="77777777" w:rsidR="00410C54" w:rsidRDefault="00410C54" w:rsidP="00EF143E">
      <w:pPr>
        <w:jc w:val="center"/>
        <w:rPr>
          <w:rFonts w:ascii="Book Antiqua" w:hAnsi="Book Antiqua" w:cs="Tahoma"/>
          <w:b/>
          <w:u w:val="single"/>
          <w:lang w:val="es-PR"/>
        </w:rPr>
      </w:pPr>
    </w:p>
    <w:p w14:paraId="1016E6D6" w14:textId="021C3BD5" w:rsidR="004F05E3" w:rsidRDefault="002670C1" w:rsidP="00B26882">
      <w:pPr>
        <w:ind w:firstLine="720"/>
        <w:jc w:val="both"/>
        <w:rPr>
          <w:rFonts w:ascii="Book Antiqua" w:hAnsi="Book Antiqua" w:cs="Tahoma"/>
          <w:lang w:val="es-PR"/>
        </w:rPr>
      </w:pPr>
      <w:r w:rsidRPr="00EC5D11">
        <w:rPr>
          <w:rFonts w:ascii="Book Antiqua" w:hAnsi="Book Antiqua" w:cs="Tahoma"/>
          <w:lang w:val="es-PR"/>
        </w:rPr>
        <w:t xml:space="preserve">La </w:t>
      </w:r>
      <w:r w:rsidR="00FE78FE" w:rsidRPr="00EC5D11">
        <w:rPr>
          <w:rFonts w:ascii="Book Antiqua" w:hAnsi="Book Antiqua" w:cs="Tahoma"/>
          <w:lang w:val="es-PR"/>
        </w:rPr>
        <w:t xml:space="preserve">Resolución de la Cámara Núm. </w:t>
      </w:r>
      <w:r w:rsidR="00AB3BDD">
        <w:rPr>
          <w:rFonts w:ascii="Book Antiqua" w:hAnsi="Book Antiqua" w:cs="Tahoma"/>
          <w:lang w:val="es-PR"/>
        </w:rPr>
        <w:t>752</w:t>
      </w:r>
      <w:r w:rsidR="00FE78FE" w:rsidRPr="00EC5D11">
        <w:rPr>
          <w:rFonts w:ascii="Book Antiqua" w:hAnsi="Book Antiqua" w:cs="Tahoma"/>
          <w:lang w:val="es-PR"/>
        </w:rPr>
        <w:t>,</w:t>
      </w:r>
      <w:r w:rsidR="00EB3FFE" w:rsidRPr="00EC5D11">
        <w:rPr>
          <w:rFonts w:ascii="Book Antiqua" w:hAnsi="Book Antiqua" w:cs="Tahoma"/>
          <w:lang w:val="es-PR"/>
        </w:rPr>
        <w:t xml:space="preserve"> tiene el propósito de </w:t>
      </w:r>
      <w:r w:rsidR="006A4CAF">
        <w:rPr>
          <w:rFonts w:ascii="Book Antiqua" w:hAnsi="Book Antiqua" w:cs="Tahoma"/>
          <w:lang w:val="es-PR"/>
        </w:rPr>
        <w:t>realizar</w:t>
      </w:r>
      <w:r w:rsidR="009A67D1">
        <w:rPr>
          <w:rFonts w:ascii="Book Antiqua" w:hAnsi="Book Antiqua" w:cs="Tahoma"/>
          <w:lang w:val="es-PR"/>
        </w:rPr>
        <w:t xml:space="preserve"> una </w:t>
      </w:r>
      <w:r w:rsidR="00333BBC">
        <w:rPr>
          <w:rFonts w:ascii="Book Antiqua" w:hAnsi="Book Antiqua"/>
          <w:spacing w:val="-3"/>
          <w:lang w:val="es-ES_tradnl"/>
        </w:rPr>
        <w:t xml:space="preserve">investigación </w:t>
      </w:r>
      <w:r w:rsidR="00AB3BDD" w:rsidRPr="003D0E18">
        <w:rPr>
          <w:rFonts w:ascii="Book Antiqua" w:hAnsi="Book Antiqua"/>
          <w:lang w:val="es-ES_tradnl"/>
        </w:rPr>
        <w:t xml:space="preserve">y análisis sobre la situación actual de los préstamos estudiantiles en Puerto Rico y sus efectos en la calidad de vida y permanencia en el </w:t>
      </w:r>
      <w:r w:rsidR="00AB3BDD">
        <w:rPr>
          <w:rFonts w:ascii="Book Antiqua" w:hAnsi="Book Antiqua"/>
          <w:lang w:val="es-ES_tradnl"/>
        </w:rPr>
        <w:t>P</w:t>
      </w:r>
      <w:r w:rsidR="00AB3BDD" w:rsidRPr="00AB3BDD">
        <w:rPr>
          <w:rFonts w:ascii="Book Antiqua" w:hAnsi="Book Antiqua"/>
          <w:lang w:val="es-ES_tradnl"/>
        </w:rPr>
        <w:t>aís</w:t>
      </w:r>
      <w:r w:rsidR="00AB3BDD" w:rsidRPr="003D0E18">
        <w:rPr>
          <w:rFonts w:ascii="Book Antiqua" w:hAnsi="Book Antiqua"/>
          <w:lang w:val="es-ES_tradnl"/>
        </w:rPr>
        <w:t xml:space="preserve"> por parte de las personas deudoras, así como las políticas públicas existentes en Puerto Rico y las diseñadas en otros estados o territorios para atender la situación</w:t>
      </w:r>
      <w:r w:rsidR="00333BBC">
        <w:rPr>
          <w:rFonts w:ascii="Book Antiqua" w:hAnsi="Book Antiqua"/>
          <w:spacing w:val="-3"/>
          <w:lang w:val="es-ES_tradnl"/>
        </w:rPr>
        <w:t>.</w:t>
      </w:r>
    </w:p>
    <w:p w14:paraId="59A2486D" w14:textId="77777777" w:rsidR="009A67D1" w:rsidRDefault="009A67D1" w:rsidP="00B26882">
      <w:pPr>
        <w:ind w:firstLine="720"/>
        <w:jc w:val="both"/>
        <w:rPr>
          <w:rFonts w:ascii="Book Antiqua" w:hAnsi="Book Antiqua" w:cs="Tahoma"/>
          <w:lang w:val="es-PR"/>
        </w:rPr>
      </w:pPr>
    </w:p>
    <w:p w14:paraId="41C16FA4" w14:textId="4B137579" w:rsidR="005E2A2E" w:rsidRPr="00EC5D11" w:rsidRDefault="0019339A" w:rsidP="00D658BE">
      <w:pPr>
        <w:ind w:firstLine="720"/>
        <w:jc w:val="both"/>
        <w:rPr>
          <w:rFonts w:ascii="Book Antiqua" w:hAnsi="Book Antiqua" w:cs="Tahoma"/>
          <w:lang w:val="es-PR"/>
        </w:rPr>
      </w:pPr>
      <w:r w:rsidRPr="00EC5D11">
        <w:rPr>
          <w:rFonts w:ascii="Book Antiqua" w:hAnsi="Book Antiqua" w:cs="Tahoma"/>
          <w:lang w:val="es-PR"/>
        </w:rPr>
        <w:t>En la exposición de motivos de la medida objeto de análisis se expresa que</w:t>
      </w:r>
      <w:r w:rsidR="00FC3111">
        <w:rPr>
          <w:rFonts w:ascii="Book Antiqua" w:hAnsi="Book Antiqua" w:cs="Tahoma"/>
          <w:lang w:val="es-PR"/>
        </w:rPr>
        <w:t>,</w:t>
      </w:r>
      <w:r w:rsidRPr="00EC5D11">
        <w:rPr>
          <w:rFonts w:ascii="Book Antiqua" w:hAnsi="Book Antiqua" w:cs="Tahoma"/>
          <w:lang w:val="es-PR"/>
        </w:rPr>
        <w:t xml:space="preserve"> </w:t>
      </w:r>
      <w:r w:rsidR="00746009">
        <w:rPr>
          <w:rFonts w:ascii="Book Antiqua" w:hAnsi="Book Antiqua"/>
          <w:lang w:val="es-ES"/>
        </w:rPr>
        <w:t>s</w:t>
      </w:r>
      <w:r w:rsidR="00746009" w:rsidRPr="003D0E18">
        <w:rPr>
          <w:rFonts w:ascii="Book Antiqua" w:hAnsi="Book Antiqua"/>
          <w:lang w:val="es-ES"/>
        </w:rPr>
        <w:t xml:space="preserve">e estima que en el 2022 las deudas de préstamos estudiantiles en Estados Unidos </w:t>
      </w:r>
      <w:r w:rsidR="00746009" w:rsidRPr="003D0E18">
        <w:rPr>
          <w:rFonts w:ascii="Book Antiqua" w:hAnsi="Book Antiqua"/>
          <w:lang w:val="es-ES"/>
        </w:rPr>
        <w:lastRenderedPageBreak/>
        <w:t>ascendieron a $1,750,000 millones</w:t>
      </w:r>
      <w:r w:rsidR="007C4716">
        <w:rPr>
          <w:rFonts w:ascii="Book Antiqua" w:hAnsi="Book Antiqua" w:cs="Tahoma"/>
          <w:lang w:val="es-PR"/>
        </w:rPr>
        <w:t>.</w:t>
      </w:r>
      <w:r w:rsidR="0035779A">
        <w:rPr>
          <w:rFonts w:ascii="Book Antiqua" w:hAnsi="Book Antiqua" w:cs="Tahoma"/>
          <w:lang w:val="es-PR"/>
        </w:rPr>
        <w:t xml:space="preserve"> </w:t>
      </w:r>
      <w:r w:rsidR="00746009" w:rsidRPr="003D0E18">
        <w:rPr>
          <w:rFonts w:ascii="Book Antiqua" w:hAnsi="Book Antiqua"/>
          <w:lang w:val="es-ES"/>
        </w:rPr>
        <w:t>Del total de estudiantes en las instituciones públicas de cuatro años y privadas sin fines de lucro, el 55% de sus estudiantes tuvo alguna deuda de préstamo estudiantil. El promedio de deuda estudiantil para esa población ascendió a $28,400 para el 2020.</w:t>
      </w:r>
    </w:p>
    <w:p w14:paraId="34E4AB97" w14:textId="77777777" w:rsidR="00E26586" w:rsidRPr="00EC5D11" w:rsidRDefault="00E26586" w:rsidP="00B26882">
      <w:pPr>
        <w:ind w:firstLine="720"/>
        <w:jc w:val="both"/>
        <w:rPr>
          <w:rFonts w:ascii="Book Antiqua" w:hAnsi="Book Antiqua" w:cs="Tahoma"/>
          <w:lang w:val="es-PR"/>
        </w:rPr>
      </w:pPr>
    </w:p>
    <w:p w14:paraId="638858B5" w14:textId="4043B680" w:rsidR="005075FC" w:rsidRDefault="005075FC" w:rsidP="00ED34B3">
      <w:pPr>
        <w:tabs>
          <w:tab w:val="left" w:pos="-1440"/>
          <w:tab w:val="left" w:pos="-720"/>
        </w:tabs>
        <w:suppressAutoHyphens/>
        <w:ind w:hanging="1"/>
        <w:jc w:val="both"/>
        <w:rPr>
          <w:rFonts w:ascii="Book Antiqua" w:hAnsi="Book Antiqua"/>
          <w:lang w:val="es-ES"/>
        </w:rPr>
      </w:pPr>
      <w:r w:rsidRPr="003D0E18">
        <w:rPr>
          <w:rFonts w:ascii="Book Antiqua" w:hAnsi="Book Antiqua"/>
          <w:lang w:val="es-ES"/>
        </w:rPr>
        <w:t>Los préstamos estudiantiles</w:t>
      </w:r>
      <w:r>
        <w:rPr>
          <w:rFonts w:ascii="Book Antiqua" w:hAnsi="Book Antiqua"/>
          <w:i/>
          <w:iCs/>
          <w:u w:val="single"/>
          <w:lang w:val="es-ES"/>
        </w:rPr>
        <w:t>,</w:t>
      </w:r>
      <w:r w:rsidRPr="003D0E18">
        <w:rPr>
          <w:rFonts w:ascii="Book Antiqua" w:hAnsi="Book Antiqua"/>
          <w:lang w:val="es-ES"/>
        </w:rPr>
        <w:t xml:space="preserve"> como problema</w:t>
      </w:r>
      <w:r>
        <w:rPr>
          <w:rFonts w:ascii="Book Antiqua" w:hAnsi="Book Antiqua"/>
          <w:i/>
          <w:iCs/>
          <w:u w:val="single"/>
          <w:lang w:val="es-ES"/>
        </w:rPr>
        <w:t>,</w:t>
      </w:r>
      <w:r w:rsidRPr="003D0E18">
        <w:rPr>
          <w:rFonts w:ascii="Book Antiqua" w:hAnsi="Book Antiqua"/>
          <w:lang w:val="es-ES"/>
        </w:rPr>
        <w:t xml:space="preserve"> es una situación tan grave que una de las primeras medidas por parte del gobierno federal para atajar los efectos de la pandemia de COVID-19 fue establecer una moratoria en el pago de préstamos estudiantiles. Esa moratoria se ha extendido en varias ocasiones tanto por la administración del expresidente republicano Donald J. Trump como la del presidente demócrata Joseph </w:t>
      </w:r>
      <w:proofErr w:type="spellStart"/>
      <w:r w:rsidRPr="003D0E18">
        <w:rPr>
          <w:rFonts w:ascii="Book Antiqua" w:hAnsi="Book Antiqua"/>
          <w:lang w:val="es-ES"/>
        </w:rPr>
        <w:t>Biden</w:t>
      </w:r>
      <w:proofErr w:type="spellEnd"/>
      <w:r w:rsidRPr="003D0E18">
        <w:rPr>
          <w:rFonts w:ascii="Book Antiqua" w:hAnsi="Book Antiqua"/>
          <w:lang w:val="es-ES"/>
        </w:rPr>
        <w:t xml:space="preserve">. La última moratoria se publicó el 6 de abril de 2022, luego que la Casa Blanca argumentó que, si los pagos de los préstamos estudiantiles se reanudaban en mayo 2022, el análisis de los datos recientes de la Reserva Federal sugería que millones de prestatarios de préstamos estudiantiles se enfrentarían a importantes dificultades económicas, a la morosidad y los impagos podrían amenazar la estabilidad financiera del país. En consecuencia, la Casa Blanca extendió la pausa en los pagos de préstamos estudiantiles federales hasta el 31 de agosto de 2022. </w:t>
      </w:r>
    </w:p>
    <w:p w14:paraId="3EB51378" w14:textId="77777777" w:rsidR="005075FC" w:rsidRPr="003D0E18" w:rsidRDefault="005075FC" w:rsidP="005075FC">
      <w:pPr>
        <w:spacing w:before="120" w:after="120"/>
        <w:ind w:firstLine="360"/>
        <w:jc w:val="both"/>
        <w:rPr>
          <w:rFonts w:ascii="Book Antiqua" w:hAnsi="Book Antiqua"/>
          <w:lang w:val="es-ES"/>
        </w:rPr>
      </w:pPr>
      <w:r w:rsidRPr="003D0E18">
        <w:rPr>
          <w:rFonts w:ascii="Book Antiqua" w:hAnsi="Book Antiqua"/>
          <w:lang w:val="es-ES"/>
        </w:rPr>
        <w:t>Actualmente, Puerto Rico se encuentra sumido en una crisis demográfica donde se observa una emigración en la población en edad productiva, una reducción en la cantidad de nacimientos, un aumento considerable en la edad promedio del país y un aumento en las defunciones. Las causas pueden ser múltiples y requieren de un panorama claro para poder desarrollar políticas públicas y legislación que aborde el tema. No obstante, algunos de los efectos que pueden abonar a la situación son la falta de salarios adecuados para subsanar las deudas de préstamos estudiantiles. Este asunto pudiera tener implicaciones en el reclutamiento y retención de diversos profesionales, entre ellos los profesionales de la salud que tan necesarios son ante el envejecimiento poblacional sustancial que está experimentando Puerto Rico.</w:t>
      </w:r>
    </w:p>
    <w:p w14:paraId="5ED223D2" w14:textId="77777777" w:rsidR="005075FC" w:rsidRDefault="005075FC" w:rsidP="00ED34B3">
      <w:pPr>
        <w:tabs>
          <w:tab w:val="left" w:pos="-1440"/>
          <w:tab w:val="left" w:pos="-720"/>
        </w:tabs>
        <w:suppressAutoHyphens/>
        <w:ind w:hanging="1"/>
        <w:jc w:val="both"/>
        <w:rPr>
          <w:rFonts w:ascii="Book Antiqua" w:hAnsi="Book Antiqua"/>
          <w:lang w:val="es-ES"/>
        </w:rPr>
      </w:pPr>
    </w:p>
    <w:p w14:paraId="25DCA248" w14:textId="3944DE37" w:rsidR="00193097" w:rsidRPr="00D6356C" w:rsidRDefault="00D6356C" w:rsidP="00ED34B3">
      <w:pPr>
        <w:tabs>
          <w:tab w:val="left" w:pos="-1440"/>
          <w:tab w:val="left" w:pos="-720"/>
        </w:tabs>
        <w:suppressAutoHyphens/>
        <w:ind w:hanging="1"/>
        <w:jc w:val="both"/>
        <w:rPr>
          <w:rFonts w:ascii="Book Antiqua" w:hAnsi="Book Antiqua" w:cs="Tahoma"/>
          <w:lang w:val="es-PR"/>
        </w:rPr>
      </w:pPr>
      <w:r>
        <w:rPr>
          <w:rFonts w:ascii="Book Antiqua" w:hAnsi="Book Antiqua" w:cs="Tahoma"/>
          <w:lang w:val="es-PR"/>
        </w:rPr>
        <w:t>Por lo anterior, e</w:t>
      </w:r>
      <w:r w:rsidR="00193097">
        <w:rPr>
          <w:rFonts w:ascii="Book Antiqua" w:hAnsi="Book Antiqua" w:cs="Tahoma"/>
          <w:lang w:val="es-PR"/>
        </w:rPr>
        <w:t xml:space="preserve">sta </w:t>
      </w:r>
      <w:r w:rsidR="00193097">
        <w:rPr>
          <w:rFonts w:ascii="Book Antiqua" w:hAnsi="Book Antiqua"/>
          <w:lang w:val="es-PR"/>
        </w:rPr>
        <w:t xml:space="preserve">Cámara de Representantes entiende que </w:t>
      </w:r>
      <w:r w:rsidR="00AF4027">
        <w:rPr>
          <w:rFonts w:ascii="Book Antiqua" w:hAnsi="Book Antiqua"/>
          <w:lang w:val="es-PR"/>
        </w:rPr>
        <w:t>un asunto de gran relevancia</w:t>
      </w:r>
      <w:r w:rsidR="00193097">
        <w:rPr>
          <w:rFonts w:ascii="Book Antiqua" w:hAnsi="Book Antiqua"/>
          <w:lang w:val="es-PR"/>
        </w:rPr>
        <w:t>,</w:t>
      </w:r>
      <w:r w:rsidR="00AF4027" w:rsidRPr="00AF4027">
        <w:rPr>
          <w:rFonts w:ascii="Book Antiqua" w:hAnsi="Book Antiqua"/>
          <w:lang w:val="es-PR"/>
        </w:rPr>
        <w:t xml:space="preserve"> </w:t>
      </w:r>
      <w:r w:rsidR="005075FC">
        <w:rPr>
          <w:rFonts w:ascii="Book Antiqua" w:hAnsi="Book Antiqua"/>
          <w:lang w:val="es-ES"/>
        </w:rPr>
        <w:t>como lo es la inserción</w:t>
      </w:r>
      <w:r w:rsidR="005075FC" w:rsidRPr="003D0E18">
        <w:rPr>
          <w:rFonts w:ascii="Book Antiqua" w:hAnsi="Book Antiqua"/>
          <w:lang w:val="es-ES"/>
        </w:rPr>
        <w:t xml:space="preserve"> en la discusión del tema con el propósito de identificar sugerencias, acciones legislativas o necesidad de recursos para conocer el estado de situación sobre los préstamos estudiantiles de la población puertorriqueña</w:t>
      </w:r>
      <w:r w:rsidR="00ED34B3">
        <w:rPr>
          <w:rFonts w:ascii="Book Antiqua" w:hAnsi="Book Antiqua"/>
          <w:spacing w:val="-3"/>
          <w:lang w:val="es-ES"/>
        </w:rPr>
        <w:t>,</w:t>
      </w:r>
      <w:r w:rsidR="00193097">
        <w:rPr>
          <w:rFonts w:ascii="Book Antiqua" w:hAnsi="Book Antiqua"/>
          <w:lang w:val="es-PR"/>
        </w:rPr>
        <w:t xml:space="preserve"> debe ser atendido con celeridad y </w:t>
      </w:r>
      <w:r w:rsidR="00125266">
        <w:rPr>
          <w:rFonts w:ascii="Book Antiqua" w:hAnsi="Book Antiqua"/>
          <w:lang w:val="es-PR"/>
        </w:rPr>
        <w:t>responsabilidad</w:t>
      </w:r>
      <w:r w:rsidR="00193097">
        <w:rPr>
          <w:rFonts w:ascii="Book Antiqua" w:hAnsi="Book Antiqua"/>
          <w:lang w:val="es-PR"/>
        </w:rPr>
        <w:t xml:space="preserve">. </w:t>
      </w:r>
      <w:r w:rsidR="00AF4027">
        <w:rPr>
          <w:rFonts w:ascii="Book Antiqua" w:hAnsi="Book Antiqua" w:cs="Arial"/>
          <w:color w:val="111111"/>
          <w:lang w:val="es-PR"/>
        </w:rPr>
        <w:t>Por ello, estimamos conveniente dar paso a la medida</w:t>
      </w:r>
      <w:r w:rsidR="00A370B5">
        <w:rPr>
          <w:rFonts w:ascii="Book Antiqua" w:hAnsi="Book Antiqua" w:cs="Arial"/>
          <w:color w:val="111111"/>
          <w:lang w:val="es-PR"/>
        </w:rPr>
        <w:t>.</w:t>
      </w:r>
    </w:p>
    <w:p w14:paraId="1C4A7D53" w14:textId="77777777" w:rsidR="009A67D1" w:rsidRDefault="009A67D1" w:rsidP="00125266">
      <w:pPr>
        <w:ind w:firstLine="720"/>
        <w:jc w:val="both"/>
        <w:rPr>
          <w:rFonts w:ascii="Book Antiqua" w:hAnsi="Book Antiqua" w:cs="Arial"/>
          <w:color w:val="111111"/>
          <w:lang w:val="es-PR"/>
        </w:rPr>
      </w:pPr>
    </w:p>
    <w:p w14:paraId="70B69278" w14:textId="2677280A" w:rsidR="00813D7C" w:rsidRPr="00EC5D11" w:rsidRDefault="00DE2F4E" w:rsidP="00813D7C">
      <w:pPr>
        <w:ind w:firstLine="720"/>
        <w:jc w:val="both"/>
        <w:rPr>
          <w:rFonts w:ascii="Book Antiqua" w:hAnsi="Book Antiqua" w:cs="Tahoma"/>
          <w:lang w:val="es-PR"/>
        </w:rPr>
      </w:pPr>
      <w:r>
        <w:rPr>
          <w:rFonts w:ascii="Book Antiqua" w:hAnsi="Book Antiqua" w:cs="Arial"/>
          <w:color w:val="111111"/>
          <w:lang w:val="es-PR"/>
        </w:rPr>
        <w:t xml:space="preserve">De otra parte, </w:t>
      </w:r>
      <w:r w:rsidR="00813D7C" w:rsidRPr="00EC5D11">
        <w:rPr>
          <w:rFonts w:ascii="Book Antiqua" w:hAnsi="Book Antiqua" w:cs="Tahoma"/>
          <w:lang w:val="es-PR"/>
        </w:rPr>
        <w:t>como comisión cameral, entendemos que la Resolución objeto de análisis cuenta con todo lo requerido constitucional, estatutaria y jurisprudencialmente, para dar paso a una investigación en su fondo.</w:t>
      </w:r>
      <w:r>
        <w:rPr>
          <w:rFonts w:ascii="Book Antiqua" w:hAnsi="Book Antiqua" w:cs="Tahoma"/>
          <w:lang w:val="es-PR"/>
        </w:rPr>
        <w:t xml:space="preserve"> </w:t>
      </w:r>
      <w:r w:rsidR="00813D7C" w:rsidRPr="00EC5D11">
        <w:rPr>
          <w:rFonts w:ascii="Book Antiqua" w:hAnsi="Book Antiqua" w:cs="Tahoma"/>
          <w:lang w:val="es-PR"/>
        </w:rPr>
        <w:t>No obstante, esta comisión informante no hará expresiones sobre los posibles resultados o hallazgos de la investigación que mediante este informe se autoriza. Sin embargo, recomienda a la</w:t>
      </w:r>
      <w:r w:rsidR="005075FC">
        <w:rPr>
          <w:rFonts w:ascii="Book Antiqua" w:hAnsi="Book Antiqua" w:cs="Tahoma"/>
          <w:lang w:val="es-PR"/>
        </w:rPr>
        <w:t>s</w:t>
      </w:r>
      <w:r w:rsidR="00A370B5">
        <w:rPr>
          <w:rFonts w:ascii="Book Antiqua" w:hAnsi="Book Antiqua" w:cs="Tahoma"/>
          <w:lang w:val="es-PR"/>
        </w:rPr>
        <w:t xml:space="preserve"> referida</w:t>
      </w:r>
      <w:r w:rsidR="005075FC">
        <w:rPr>
          <w:rFonts w:ascii="Book Antiqua" w:hAnsi="Book Antiqua" w:cs="Tahoma"/>
          <w:lang w:val="es-PR"/>
        </w:rPr>
        <w:t>s</w:t>
      </w:r>
      <w:r w:rsidR="00813D7C" w:rsidRPr="00EC5D11">
        <w:rPr>
          <w:rFonts w:ascii="Book Antiqua" w:hAnsi="Book Antiqua" w:cs="Tahoma"/>
          <w:lang w:val="es-PR"/>
        </w:rPr>
        <w:t xml:space="preserve"> </w:t>
      </w:r>
      <w:r w:rsidR="00B3541A">
        <w:rPr>
          <w:rFonts w:ascii="Book Antiqua" w:hAnsi="Book Antiqua" w:cs="Arial"/>
          <w:color w:val="111111"/>
          <w:lang w:val="es-PR"/>
        </w:rPr>
        <w:t>comis</w:t>
      </w:r>
      <w:r w:rsidR="005075FC">
        <w:rPr>
          <w:rFonts w:ascii="Book Antiqua" w:hAnsi="Book Antiqua" w:cs="Arial"/>
          <w:color w:val="111111"/>
          <w:lang w:val="es-PR"/>
        </w:rPr>
        <w:t>iones</w:t>
      </w:r>
      <w:r w:rsidR="00A370B5">
        <w:rPr>
          <w:rFonts w:ascii="Book Antiqua" w:hAnsi="Book Antiqua" w:cs="Arial"/>
          <w:color w:val="111111"/>
          <w:lang w:val="es-PR"/>
        </w:rPr>
        <w:t xml:space="preserve">, </w:t>
      </w:r>
      <w:r w:rsidR="00813D7C" w:rsidRPr="00EC5D11">
        <w:rPr>
          <w:rFonts w:ascii="Book Antiqua" w:hAnsi="Book Antiqua" w:cs="Tahoma"/>
          <w:lang w:val="es-PR"/>
        </w:rPr>
        <w:t xml:space="preserve">tramitar la misma conforme al reglamento y con apego al plazo concedido para rendir su informe, si alguno, o mientras se mantenga en vigor la </w:t>
      </w:r>
      <w:r w:rsidR="00656495">
        <w:rPr>
          <w:rFonts w:ascii="Book Antiqua" w:hAnsi="Book Antiqua" w:cs="Tahoma"/>
          <w:lang w:val="es-PR"/>
        </w:rPr>
        <w:t>investigación</w:t>
      </w:r>
      <w:r w:rsidR="00B3541A">
        <w:rPr>
          <w:rFonts w:ascii="Book Antiqua" w:hAnsi="Book Antiqua" w:cs="Tahoma"/>
          <w:lang w:val="es-PR"/>
        </w:rPr>
        <w:t>.</w:t>
      </w:r>
    </w:p>
    <w:p w14:paraId="271E0413" w14:textId="77777777" w:rsidR="002670C1" w:rsidRPr="00EC5D11" w:rsidRDefault="002670C1" w:rsidP="007D7209">
      <w:pPr>
        <w:ind w:firstLine="720"/>
        <w:jc w:val="both"/>
        <w:rPr>
          <w:rFonts w:ascii="Book Antiqua" w:hAnsi="Book Antiqua" w:cs="Tahoma"/>
          <w:lang w:val="es-PR"/>
        </w:rPr>
      </w:pPr>
    </w:p>
    <w:p w14:paraId="458F17C1" w14:textId="77777777" w:rsidR="002670C1" w:rsidRPr="00EC5D11" w:rsidRDefault="002670C1" w:rsidP="002670C1">
      <w:pPr>
        <w:jc w:val="center"/>
        <w:rPr>
          <w:rFonts w:ascii="Book Antiqua" w:hAnsi="Book Antiqua" w:cs="Tahoma"/>
          <w:b/>
          <w:smallCaps/>
          <w:u w:val="single"/>
          <w:lang w:val="es-PR"/>
        </w:rPr>
      </w:pPr>
      <w:r w:rsidRPr="00EC5D11">
        <w:rPr>
          <w:rFonts w:ascii="Book Antiqua" w:hAnsi="Book Antiqua" w:cs="Tahoma"/>
          <w:b/>
          <w:smallCaps/>
          <w:u w:val="single"/>
          <w:lang w:val="es-PR"/>
        </w:rPr>
        <w:t>CONCLUSIÓN Y RECOMENDACIÓN</w:t>
      </w:r>
    </w:p>
    <w:p w14:paraId="1D8F3290" w14:textId="77777777" w:rsidR="002670C1" w:rsidRPr="00EC5D11" w:rsidRDefault="002670C1" w:rsidP="002670C1">
      <w:pPr>
        <w:jc w:val="both"/>
        <w:rPr>
          <w:rFonts w:ascii="Book Antiqua" w:hAnsi="Book Antiqua" w:cs="Tahoma"/>
          <w:lang w:val="es-PR"/>
        </w:rPr>
      </w:pPr>
    </w:p>
    <w:p w14:paraId="199383EC" w14:textId="10499838" w:rsidR="002670C1" w:rsidRPr="00EC5D11" w:rsidRDefault="002670C1" w:rsidP="002670C1">
      <w:pPr>
        <w:jc w:val="both"/>
        <w:rPr>
          <w:rFonts w:ascii="Book Antiqua" w:hAnsi="Book Antiqua" w:cs="Tahoma"/>
          <w:lang w:val="es-PR"/>
        </w:rPr>
      </w:pPr>
      <w:r w:rsidRPr="00EC5D11">
        <w:rPr>
          <w:rFonts w:ascii="Book Antiqua" w:hAnsi="Book Antiqua" w:cs="Tahoma"/>
          <w:lang w:val="es-PR"/>
        </w:rPr>
        <w:tab/>
        <w:t>Por lo</w:t>
      </w:r>
      <w:r w:rsidR="00E26586" w:rsidRPr="00EC5D11">
        <w:rPr>
          <w:rFonts w:ascii="Book Antiqua" w:hAnsi="Book Antiqua" w:cs="Tahoma"/>
          <w:lang w:val="es-PR"/>
        </w:rPr>
        <w:t xml:space="preserve"> antes</w:t>
      </w:r>
      <w:r w:rsidRPr="00EC5D11">
        <w:rPr>
          <w:rFonts w:ascii="Book Antiqua" w:hAnsi="Book Antiqua" w:cs="Tahoma"/>
          <w:lang w:val="es-PR"/>
        </w:rPr>
        <w:t xml:space="preserve"> expuesto, la Comisión de Asuntos Internos de la Cámara de Representantes del Estado Libre Asociado de Puerto Rico tiene el honor de recomendar la aprobación de la Resolución de la Cámara </w:t>
      </w:r>
      <w:r w:rsidR="005075FC">
        <w:rPr>
          <w:rFonts w:ascii="Book Antiqua" w:hAnsi="Book Antiqua" w:cs="Tahoma"/>
          <w:lang w:val="es-PR"/>
        </w:rPr>
        <w:t>752</w:t>
      </w:r>
      <w:r w:rsidR="00193097">
        <w:rPr>
          <w:rFonts w:ascii="Book Antiqua" w:hAnsi="Book Antiqua" w:cs="Tahoma"/>
          <w:lang w:val="es-PR"/>
        </w:rPr>
        <w:t>,</w:t>
      </w:r>
      <w:r w:rsidRPr="00EC5D11">
        <w:rPr>
          <w:rFonts w:ascii="Book Antiqua" w:hAnsi="Book Antiqua" w:cs="Tahoma"/>
          <w:lang w:val="es-PR"/>
        </w:rPr>
        <w:t xml:space="preserve"> con las enmiendas contenidas en el entirillado electrónico que acompaña a este informe.</w:t>
      </w:r>
    </w:p>
    <w:p w14:paraId="4B38C4C2" w14:textId="77777777" w:rsidR="00EF143E" w:rsidRPr="00EC5D11" w:rsidRDefault="00EF143E" w:rsidP="002670C1">
      <w:pPr>
        <w:jc w:val="both"/>
        <w:rPr>
          <w:rFonts w:ascii="Book Antiqua" w:hAnsi="Book Antiqua" w:cs="Tahoma"/>
          <w:lang w:val="es-PR"/>
        </w:rPr>
      </w:pPr>
    </w:p>
    <w:p w14:paraId="5BE12004" w14:textId="77777777" w:rsidR="00193097" w:rsidRDefault="00193097" w:rsidP="002670C1">
      <w:pPr>
        <w:ind w:firstLine="720"/>
        <w:jc w:val="both"/>
        <w:rPr>
          <w:rFonts w:ascii="Book Antiqua" w:hAnsi="Book Antiqua" w:cs="Tahoma"/>
          <w:b/>
          <w:smallCaps/>
          <w:lang w:val="es-PR"/>
        </w:rPr>
      </w:pPr>
    </w:p>
    <w:p w14:paraId="6696159D" w14:textId="77777777" w:rsidR="002670C1" w:rsidRPr="00EC5D11" w:rsidRDefault="002670C1" w:rsidP="002670C1">
      <w:pPr>
        <w:ind w:firstLine="720"/>
        <w:jc w:val="both"/>
        <w:rPr>
          <w:rFonts w:ascii="Book Antiqua" w:hAnsi="Book Antiqua" w:cs="Tahoma"/>
          <w:b/>
          <w:smallCaps/>
          <w:lang w:val="es-PR"/>
        </w:rPr>
      </w:pPr>
      <w:r w:rsidRPr="00EC5D11">
        <w:rPr>
          <w:rFonts w:ascii="Book Antiqua" w:hAnsi="Book Antiqua" w:cs="Tahoma"/>
          <w:b/>
          <w:smallCaps/>
          <w:lang w:val="es-PR"/>
        </w:rPr>
        <w:t>Respetuosamente sometido,</w:t>
      </w:r>
    </w:p>
    <w:p w14:paraId="26C811E9" w14:textId="77777777" w:rsidR="002670C1" w:rsidRPr="00EC5D11" w:rsidRDefault="002670C1" w:rsidP="002670C1">
      <w:pPr>
        <w:jc w:val="both"/>
        <w:rPr>
          <w:rFonts w:ascii="Book Antiqua" w:hAnsi="Book Antiqua" w:cs="Tahoma"/>
          <w:b/>
          <w:smallCaps/>
          <w:lang w:val="es-PR"/>
        </w:rPr>
      </w:pPr>
    </w:p>
    <w:p w14:paraId="6463E45F" w14:textId="77777777" w:rsidR="002670C1" w:rsidRPr="00EC5D11" w:rsidRDefault="002670C1" w:rsidP="002670C1">
      <w:pPr>
        <w:jc w:val="both"/>
        <w:rPr>
          <w:rFonts w:ascii="Book Antiqua" w:hAnsi="Book Antiqua" w:cs="Tahoma"/>
          <w:b/>
          <w:smallCaps/>
          <w:lang w:val="es-PR"/>
        </w:rPr>
      </w:pPr>
    </w:p>
    <w:p w14:paraId="673CEA59" w14:textId="77777777" w:rsidR="002670C1" w:rsidRPr="00EC5D11" w:rsidRDefault="002670C1" w:rsidP="002670C1">
      <w:pPr>
        <w:jc w:val="both"/>
        <w:rPr>
          <w:rFonts w:ascii="Book Antiqua" w:hAnsi="Book Antiqua" w:cs="Tahoma"/>
          <w:b/>
          <w:smallCaps/>
          <w:lang w:val="es-PR"/>
        </w:rPr>
      </w:pPr>
    </w:p>
    <w:p w14:paraId="26F7505E" w14:textId="77777777" w:rsidR="002670C1" w:rsidRPr="00EC5D11" w:rsidRDefault="00445CFE" w:rsidP="002670C1">
      <w:pPr>
        <w:ind w:firstLine="720"/>
        <w:jc w:val="both"/>
        <w:rPr>
          <w:rFonts w:ascii="Book Antiqua" w:hAnsi="Book Antiqua" w:cs="Tahoma"/>
          <w:b/>
          <w:smallCaps/>
          <w:lang w:val="es-PR"/>
        </w:rPr>
      </w:pPr>
      <w:r w:rsidRPr="00EC5D11">
        <w:rPr>
          <w:rFonts w:ascii="Book Antiqua" w:hAnsi="Book Antiqua" w:cs="Tahoma"/>
          <w:b/>
          <w:smallCaps/>
          <w:lang w:val="es-PR"/>
        </w:rPr>
        <w:t>ROBERTO RIVERA RUIZ DE PORRAS</w:t>
      </w:r>
    </w:p>
    <w:p w14:paraId="78D2FF89" w14:textId="77777777" w:rsidR="002670C1" w:rsidRPr="00EC5D11" w:rsidRDefault="002670C1" w:rsidP="002670C1">
      <w:pPr>
        <w:ind w:firstLine="720"/>
        <w:jc w:val="both"/>
        <w:rPr>
          <w:rFonts w:ascii="Book Antiqua" w:hAnsi="Book Antiqua" w:cs="Tahoma"/>
          <w:b/>
          <w:smallCaps/>
          <w:lang w:val="es-PR"/>
        </w:rPr>
      </w:pPr>
      <w:r w:rsidRPr="00EC5D11">
        <w:rPr>
          <w:rFonts w:ascii="Book Antiqua" w:hAnsi="Book Antiqua" w:cs="Tahoma"/>
          <w:b/>
          <w:smallCaps/>
          <w:lang w:val="es-PR"/>
        </w:rPr>
        <w:t>Presidente</w:t>
      </w:r>
    </w:p>
    <w:p w14:paraId="51A21F5B" w14:textId="77777777" w:rsidR="00307416" w:rsidRPr="00EC5D11" w:rsidRDefault="002670C1" w:rsidP="0099466E">
      <w:pPr>
        <w:ind w:firstLine="720"/>
        <w:rPr>
          <w:rFonts w:ascii="Book Antiqua" w:hAnsi="Book Antiqua"/>
          <w:b/>
          <w:smallCaps/>
          <w:lang w:val="es-PR"/>
        </w:rPr>
      </w:pPr>
      <w:r w:rsidRPr="00EC5D11">
        <w:rPr>
          <w:rFonts w:ascii="Book Antiqua" w:hAnsi="Book Antiqua" w:cs="Tahoma"/>
          <w:b/>
          <w:smallCaps/>
          <w:lang w:val="es-PR"/>
        </w:rPr>
        <w:t>Comisión de Asuntos Internos</w:t>
      </w:r>
    </w:p>
    <w:sectPr w:rsidR="00307416" w:rsidRPr="00EC5D11"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88AD" w14:textId="77777777" w:rsidR="00061540" w:rsidRDefault="00061540" w:rsidP="00614C2C">
      <w:r>
        <w:separator/>
      </w:r>
    </w:p>
  </w:endnote>
  <w:endnote w:type="continuationSeparator" w:id="0">
    <w:p w14:paraId="772C79C5" w14:textId="77777777" w:rsidR="00061540" w:rsidRDefault="00061540"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894"/>
      <w:docPartObj>
        <w:docPartGallery w:val="Page Numbers (Bottom of Page)"/>
        <w:docPartUnique/>
      </w:docPartObj>
    </w:sdtPr>
    <w:sdtEndPr/>
    <w:sdtContent>
      <w:p w14:paraId="222F5A93" w14:textId="77777777" w:rsidR="00D658BE" w:rsidRDefault="00D658BE">
        <w:pPr>
          <w:pStyle w:val="Footer"/>
          <w:jc w:val="center"/>
        </w:pPr>
        <w:r>
          <w:fldChar w:fldCharType="begin"/>
        </w:r>
        <w:r>
          <w:instrText xml:space="preserve"> PAGE   \* MERGEFORMAT </w:instrText>
        </w:r>
        <w:r>
          <w:fldChar w:fldCharType="separate"/>
        </w:r>
        <w:r w:rsidR="00CA69ED">
          <w:rPr>
            <w:noProof/>
          </w:rPr>
          <w:t>2</w:t>
        </w:r>
        <w:r>
          <w:rPr>
            <w:noProof/>
          </w:rPr>
          <w:fldChar w:fldCharType="end"/>
        </w:r>
      </w:p>
    </w:sdtContent>
  </w:sdt>
  <w:p w14:paraId="0DB27905" w14:textId="77777777" w:rsidR="00D658BE" w:rsidRDefault="00D6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F384" w14:textId="77777777" w:rsidR="00061540" w:rsidRDefault="00061540" w:rsidP="00614C2C">
      <w:r>
        <w:separator/>
      </w:r>
    </w:p>
  </w:footnote>
  <w:footnote w:type="continuationSeparator" w:id="0">
    <w:p w14:paraId="75C0E508" w14:textId="77777777" w:rsidR="00061540" w:rsidRDefault="00061540"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C1"/>
    <w:rsid w:val="00021116"/>
    <w:rsid w:val="00061540"/>
    <w:rsid w:val="00075A15"/>
    <w:rsid w:val="00082D79"/>
    <w:rsid w:val="000C6264"/>
    <w:rsid w:val="000E15AD"/>
    <w:rsid w:val="000E41FA"/>
    <w:rsid w:val="00103980"/>
    <w:rsid w:val="00107C2F"/>
    <w:rsid w:val="00125266"/>
    <w:rsid w:val="00193097"/>
    <w:rsid w:val="0019339A"/>
    <w:rsid w:val="001B4EF7"/>
    <w:rsid w:val="001D0161"/>
    <w:rsid w:val="001D3E64"/>
    <w:rsid w:val="001F7BB5"/>
    <w:rsid w:val="00224DE4"/>
    <w:rsid w:val="002670C1"/>
    <w:rsid w:val="00270554"/>
    <w:rsid w:val="0028725D"/>
    <w:rsid w:val="002954B6"/>
    <w:rsid w:val="002E6AB7"/>
    <w:rsid w:val="00300D76"/>
    <w:rsid w:val="00307416"/>
    <w:rsid w:val="003139DC"/>
    <w:rsid w:val="00316DF7"/>
    <w:rsid w:val="00333BBC"/>
    <w:rsid w:val="00334D8A"/>
    <w:rsid w:val="00344659"/>
    <w:rsid w:val="00346E1A"/>
    <w:rsid w:val="0035779A"/>
    <w:rsid w:val="00365C53"/>
    <w:rsid w:val="00371D64"/>
    <w:rsid w:val="00375264"/>
    <w:rsid w:val="00402C8E"/>
    <w:rsid w:val="00410C54"/>
    <w:rsid w:val="004410F2"/>
    <w:rsid w:val="00445CFE"/>
    <w:rsid w:val="00455A9A"/>
    <w:rsid w:val="00455C2F"/>
    <w:rsid w:val="00476691"/>
    <w:rsid w:val="00476756"/>
    <w:rsid w:val="004D26F9"/>
    <w:rsid w:val="004D42C2"/>
    <w:rsid w:val="004F05E3"/>
    <w:rsid w:val="005075FC"/>
    <w:rsid w:val="00582242"/>
    <w:rsid w:val="005A5DF4"/>
    <w:rsid w:val="005D0270"/>
    <w:rsid w:val="005E2A2E"/>
    <w:rsid w:val="005F6537"/>
    <w:rsid w:val="00601225"/>
    <w:rsid w:val="00606351"/>
    <w:rsid w:val="00610CC6"/>
    <w:rsid w:val="00614C2C"/>
    <w:rsid w:val="0062204F"/>
    <w:rsid w:val="00632DBA"/>
    <w:rsid w:val="00644454"/>
    <w:rsid w:val="00647017"/>
    <w:rsid w:val="00656495"/>
    <w:rsid w:val="00667B9C"/>
    <w:rsid w:val="006A4CAF"/>
    <w:rsid w:val="006B1AF9"/>
    <w:rsid w:val="00746009"/>
    <w:rsid w:val="00780620"/>
    <w:rsid w:val="007C3241"/>
    <w:rsid w:val="007C4716"/>
    <w:rsid w:val="007D7209"/>
    <w:rsid w:val="007E4017"/>
    <w:rsid w:val="007F0A9D"/>
    <w:rsid w:val="008074F1"/>
    <w:rsid w:val="00813D7C"/>
    <w:rsid w:val="0087511F"/>
    <w:rsid w:val="008C757B"/>
    <w:rsid w:val="008E0870"/>
    <w:rsid w:val="00935128"/>
    <w:rsid w:val="00952A47"/>
    <w:rsid w:val="0098035D"/>
    <w:rsid w:val="00981986"/>
    <w:rsid w:val="0099466E"/>
    <w:rsid w:val="009A67D1"/>
    <w:rsid w:val="009B3F5E"/>
    <w:rsid w:val="009B4F8E"/>
    <w:rsid w:val="009C2AAC"/>
    <w:rsid w:val="009E1924"/>
    <w:rsid w:val="00A0286F"/>
    <w:rsid w:val="00A16A73"/>
    <w:rsid w:val="00A365D9"/>
    <w:rsid w:val="00A370B5"/>
    <w:rsid w:val="00AB3BDD"/>
    <w:rsid w:val="00AC35C0"/>
    <w:rsid w:val="00AC35E9"/>
    <w:rsid w:val="00AF4027"/>
    <w:rsid w:val="00B0402B"/>
    <w:rsid w:val="00B10484"/>
    <w:rsid w:val="00B16CF6"/>
    <w:rsid w:val="00B26882"/>
    <w:rsid w:val="00B31A49"/>
    <w:rsid w:val="00B34E25"/>
    <w:rsid w:val="00B3541A"/>
    <w:rsid w:val="00BB5CBB"/>
    <w:rsid w:val="00BB7D59"/>
    <w:rsid w:val="00BD5F6F"/>
    <w:rsid w:val="00BD6340"/>
    <w:rsid w:val="00C10E6F"/>
    <w:rsid w:val="00C11CDD"/>
    <w:rsid w:val="00C21484"/>
    <w:rsid w:val="00C65FDF"/>
    <w:rsid w:val="00C83EB5"/>
    <w:rsid w:val="00CA370E"/>
    <w:rsid w:val="00CA69ED"/>
    <w:rsid w:val="00CC5AB6"/>
    <w:rsid w:val="00CD5EE6"/>
    <w:rsid w:val="00CD69DB"/>
    <w:rsid w:val="00D0435A"/>
    <w:rsid w:val="00D6356C"/>
    <w:rsid w:val="00D658BE"/>
    <w:rsid w:val="00D73B0E"/>
    <w:rsid w:val="00DC4718"/>
    <w:rsid w:val="00DD725F"/>
    <w:rsid w:val="00DE2F4E"/>
    <w:rsid w:val="00DF49E3"/>
    <w:rsid w:val="00E26586"/>
    <w:rsid w:val="00E8699D"/>
    <w:rsid w:val="00E92C94"/>
    <w:rsid w:val="00EA0119"/>
    <w:rsid w:val="00EA4C6A"/>
    <w:rsid w:val="00EB3FFE"/>
    <w:rsid w:val="00EC5D11"/>
    <w:rsid w:val="00ED34B3"/>
    <w:rsid w:val="00EF143E"/>
    <w:rsid w:val="00F4151D"/>
    <w:rsid w:val="00F8240A"/>
    <w:rsid w:val="00FC3111"/>
    <w:rsid w:val="00FD186E"/>
    <w:rsid w:val="00FE78FE"/>
    <w:rsid w:val="00FF082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032A"/>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customStyle="1" w:styleId="Default">
    <w:name w:val="Default"/>
    <w:rsid w:val="00F4151D"/>
    <w:pPr>
      <w:autoSpaceDE w:val="0"/>
      <w:autoSpaceDN w:val="0"/>
      <w:adjustRightInd w:val="0"/>
      <w:spacing w:after="0" w:line="240" w:lineRule="auto"/>
    </w:pPr>
    <w:rPr>
      <w:rFonts w:ascii="Book Antiqua" w:eastAsia="Calibri" w:hAnsi="Book Antiqua" w:cs="Book Antiqua"/>
      <w:color w:val="000000"/>
      <w:sz w:val="24"/>
      <w:szCs w:val="24"/>
      <w:lang w:val="en-US"/>
    </w:rPr>
  </w:style>
  <w:style w:type="paragraph" w:styleId="FootnoteText">
    <w:name w:val="footnote text"/>
    <w:basedOn w:val="Normal"/>
    <w:link w:val="FootnoteTextChar"/>
    <w:uiPriority w:val="99"/>
    <w:semiHidden/>
    <w:unhideWhenUsed/>
    <w:rsid w:val="005075FC"/>
    <w:rPr>
      <w:sz w:val="20"/>
      <w:szCs w:val="20"/>
    </w:rPr>
  </w:style>
  <w:style w:type="character" w:customStyle="1" w:styleId="FootnoteTextChar">
    <w:name w:val="Footnote Text Char"/>
    <w:basedOn w:val="DefaultParagraphFont"/>
    <w:link w:val="FootnoteText"/>
    <w:uiPriority w:val="99"/>
    <w:semiHidden/>
    <w:rsid w:val="005075FC"/>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5075FC"/>
    <w:rPr>
      <w:vertAlign w:val="superscript"/>
    </w:rPr>
  </w:style>
  <w:style w:type="character" w:styleId="Hyperlink">
    <w:name w:val="Hyperlink"/>
    <w:uiPriority w:val="99"/>
    <w:unhideWhenUsed/>
    <w:rsid w:val="005075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Arniella Vega</dc:creator>
  <cp:lastModifiedBy>Janelle Bonilla Ortiz</cp:lastModifiedBy>
  <cp:revision>2</cp:revision>
  <cp:lastPrinted>2021-03-25T21:14:00Z</cp:lastPrinted>
  <dcterms:created xsi:type="dcterms:W3CDTF">2022-08-23T13:37:00Z</dcterms:created>
  <dcterms:modified xsi:type="dcterms:W3CDTF">2022-08-23T13:37:00Z</dcterms:modified>
</cp:coreProperties>
</file>