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2E98E" w14:textId="77777777" w:rsidR="007F4FCA" w:rsidRPr="007F4FCA" w:rsidRDefault="007F4FCA" w:rsidP="007B060F">
      <w:pPr>
        <w:spacing w:line="21" w:lineRule="atLeast"/>
        <w:ind w:right="14"/>
        <w:jc w:val="center"/>
        <w:rPr>
          <w:rFonts w:ascii="Book Antiqua" w:eastAsia="Book Antiqua" w:hAnsi="Book Antiqua" w:cs="Book Antiqua"/>
          <w:color w:val="000000"/>
          <w:kern w:val="0"/>
          <w:szCs w:val="22"/>
          <w:lang w:val="es-PR"/>
          <w14:ligatures w14:val="none"/>
        </w:rPr>
      </w:pPr>
      <w:bookmarkStart w:id="0" w:name="_Hlk149824550"/>
      <w:r w:rsidRPr="007F4FCA">
        <w:rPr>
          <w:rFonts w:ascii="Book Antiqua" w:eastAsia="Book Antiqua" w:hAnsi="Book Antiqua" w:cs="Book Antiqua"/>
          <w:color w:val="000000"/>
          <w:kern w:val="0"/>
          <w:sz w:val="32"/>
          <w:szCs w:val="22"/>
          <w:lang w:val="es-PR"/>
          <w14:ligatures w14:val="none"/>
        </w:rPr>
        <w:t xml:space="preserve">  ESTADO LIBRE ASOCIADO DE PUERTO RICO </w:t>
      </w:r>
    </w:p>
    <w:p w14:paraId="69A6C539" w14:textId="77777777" w:rsidR="007F4FCA" w:rsidRPr="007F4FCA" w:rsidRDefault="007F4FCA" w:rsidP="007B060F">
      <w:pPr>
        <w:spacing w:line="21" w:lineRule="atLeast"/>
        <w:ind w:left="57"/>
        <w:jc w:val="center"/>
        <w:rPr>
          <w:rFonts w:ascii="Book Antiqua" w:eastAsia="Book Antiqua" w:hAnsi="Book Antiqua" w:cs="Book Antiqua"/>
          <w:color w:val="000000"/>
          <w:kern w:val="0"/>
          <w:szCs w:val="22"/>
          <w:lang w:val="es-PR"/>
          <w14:ligatures w14:val="none"/>
        </w:rPr>
      </w:pPr>
      <w:r w:rsidRPr="007F4FCA">
        <w:rPr>
          <w:rFonts w:ascii="Book Antiqua" w:eastAsia="Book Antiqua" w:hAnsi="Book Antiqua" w:cs="Book Antiqua"/>
          <w:color w:val="000000"/>
          <w:kern w:val="0"/>
          <w:szCs w:val="22"/>
          <w:lang w:val="es-PR"/>
          <w14:ligatures w14:val="none"/>
        </w:rPr>
        <w:t xml:space="preserve"> </w:t>
      </w:r>
    </w:p>
    <w:p w14:paraId="3DE91757" w14:textId="72291055" w:rsidR="007F4FCA" w:rsidRPr="007F4FCA" w:rsidRDefault="007F4FCA" w:rsidP="007B060F">
      <w:pPr>
        <w:tabs>
          <w:tab w:val="center" w:pos="2161"/>
          <w:tab w:val="center" w:pos="2881"/>
          <w:tab w:val="center" w:pos="3601"/>
          <w:tab w:val="center" w:pos="4321"/>
          <w:tab w:val="center" w:pos="5041"/>
          <w:tab w:val="center" w:pos="5761"/>
          <w:tab w:val="center" w:pos="6482"/>
          <w:tab w:val="center" w:pos="7202"/>
          <w:tab w:val="right" w:pos="9365"/>
        </w:tabs>
        <w:spacing w:after="21" w:line="21" w:lineRule="atLeast"/>
        <w:ind w:left="-15"/>
        <w:rPr>
          <w:rFonts w:ascii="Book Antiqua" w:eastAsia="Book Antiqua" w:hAnsi="Book Antiqua" w:cs="Book Antiqua"/>
          <w:color w:val="000000"/>
          <w:kern w:val="0"/>
          <w:szCs w:val="22"/>
          <w:lang w:val="es-PR"/>
          <w14:ligatures w14:val="none"/>
        </w:rPr>
      </w:pPr>
      <w:r w:rsidRPr="007F4FCA">
        <w:rPr>
          <w:rFonts w:ascii="Book Antiqua" w:eastAsia="Book Antiqua" w:hAnsi="Book Antiqua" w:cs="Book Antiqua"/>
          <w:color w:val="000000"/>
          <w:kern w:val="0"/>
          <w:szCs w:val="22"/>
          <w:lang w:val="es-PR"/>
          <w14:ligatures w14:val="none"/>
        </w:rPr>
        <w:t>19</w:t>
      </w:r>
      <w:r w:rsidRPr="007F4FCA">
        <w:rPr>
          <w:rFonts w:ascii="Book Antiqua" w:eastAsia="Book Antiqua" w:hAnsi="Book Antiqua" w:cs="Book Antiqua"/>
          <w:color w:val="000000"/>
          <w:kern w:val="0"/>
          <w:szCs w:val="22"/>
          <w:vertAlign w:val="superscript"/>
          <w:lang w:val="es-PR"/>
          <w14:ligatures w14:val="none"/>
        </w:rPr>
        <w:t>na.</w:t>
      </w:r>
      <w:r w:rsidRPr="007F4FCA">
        <w:rPr>
          <w:rFonts w:ascii="Book Antiqua" w:eastAsia="Book Antiqua" w:hAnsi="Book Antiqua" w:cs="Book Antiqua"/>
          <w:color w:val="000000"/>
          <w:kern w:val="0"/>
          <w:szCs w:val="22"/>
          <w:lang w:val="es-PR"/>
          <w14:ligatures w14:val="none"/>
        </w:rPr>
        <w:t xml:space="preserve"> Asamblea </w:t>
      </w:r>
      <w:r w:rsidRPr="007F4FCA">
        <w:rPr>
          <w:rFonts w:ascii="Book Antiqua" w:eastAsia="Book Antiqua" w:hAnsi="Book Antiqua" w:cs="Book Antiqua"/>
          <w:color w:val="000000"/>
          <w:kern w:val="0"/>
          <w:szCs w:val="22"/>
          <w:lang w:val="es-PR"/>
          <w14:ligatures w14:val="none"/>
        </w:rPr>
        <w:tab/>
        <w:t xml:space="preserve"> </w:t>
      </w:r>
      <w:r w:rsidRPr="007F4FCA">
        <w:rPr>
          <w:rFonts w:ascii="Book Antiqua" w:eastAsia="Book Antiqua" w:hAnsi="Book Antiqua" w:cs="Book Antiqua"/>
          <w:color w:val="000000"/>
          <w:kern w:val="0"/>
          <w:szCs w:val="22"/>
          <w:lang w:val="es-PR"/>
          <w14:ligatures w14:val="none"/>
        </w:rPr>
        <w:tab/>
        <w:t xml:space="preserve"> </w:t>
      </w:r>
      <w:r w:rsidRPr="007F4FCA">
        <w:rPr>
          <w:rFonts w:ascii="Book Antiqua" w:eastAsia="Book Antiqua" w:hAnsi="Book Antiqua" w:cs="Book Antiqua"/>
          <w:color w:val="000000"/>
          <w:kern w:val="0"/>
          <w:szCs w:val="22"/>
          <w:lang w:val="es-PR"/>
          <w14:ligatures w14:val="none"/>
        </w:rPr>
        <w:tab/>
        <w:t xml:space="preserve"> </w:t>
      </w:r>
      <w:r w:rsidRPr="007F4FCA">
        <w:rPr>
          <w:rFonts w:ascii="Book Antiqua" w:eastAsia="Book Antiqua" w:hAnsi="Book Antiqua" w:cs="Book Antiqua"/>
          <w:color w:val="000000"/>
          <w:kern w:val="0"/>
          <w:szCs w:val="22"/>
          <w:lang w:val="es-PR"/>
          <w14:ligatures w14:val="none"/>
        </w:rPr>
        <w:tab/>
        <w:t xml:space="preserve"> </w:t>
      </w:r>
      <w:r w:rsidRPr="007F4FCA">
        <w:rPr>
          <w:rFonts w:ascii="Book Antiqua" w:eastAsia="Book Antiqua" w:hAnsi="Book Antiqua" w:cs="Book Antiqua"/>
          <w:color w:val="000000"/>
          <w:kern w:val="0"/>
          <w:szCs w:val="22"/>
          <w:lang w:val="es-PR"/>
          <w14:ligatures w14:val="none"/>
        </w:rPr>
        <w:tab/>
        <w:t xml:space="preserve"> </w:t>
      </w:r>
      <w:r w:rsidRPr="007F4FCA">
        <w:rPr>
          <w:rFonts w:ascii="Book Antiqua" w:eastAsia="Book Antiqua" w:hAnsi="Book Antiqua" w:cs="Book Antiqua"/>
          <w:color w:val="000000"/>
          <w:kern w:val="0"/>
          <w:szCs w:val="22"/>
          <w:lang w:val="es-PR"/>
          <w14:ligatures w14:val="none"/>
        </w:rPr>
        <w:tab/>
        <w:t xml:space="preserve"> </w:t>
      </w:r>
      <w:r w:rsidRPr="007F4FCA">
        <w:rPr>
          <w:rFonts w:ascii="Book Antiqua" w:eastAsia="Book Antiqua" w:hAnsi="Book Antiqua" w:cs="Book Antiqua"/>
          <w:color w:val="000000"/>
          <w:kern w:val="0"/>
          <w:szCs w:val="22"/>
          <w:lang w:val="es-PR"/>
          <w14:ligatures w14:val="none"/>
        </w:rPr>
        <w:tab/>
        <w:t xml:space="preserve"> </w:t>
      </w:r>
      <w:r w:rsidRPr="007F4FCA">
        <w:rPr>
          <w:rFonts w:ascii="Book Antiqua" w:eastAsia="Book Antiqua" w:hAnsi="Book Antiqua" w:cs="Book Antiqua"/>
          <w:color w:val="000000"/>
          <w:kern w:val="0"/>
          <w:szCs w:val="22"/>
          <w:lang w:val="es-PR"/>
          <w14:ligatures w14:val="none"/>
        </w:rPr>
        <w:tab/>
        <w:t xml:space="preserve"> </w:t>
      </w:r>
      <w:r w:rsidRPr="007F4FCA">
        <w:rPr>
          <w:rFonts w:ascii="Book Antiqua" w:eastAsia="Book Antiqua" w:hAnsi="Book Antiqua" w:cs="Book Antiqua"/>
          <w:color w:val="000000"/>
          <w:kern w:val="0"/>
          <w:szCs w:val="22"/>
          <w:lang w:val="es-PR"/>
          <w14:ligatures w14:val="none"/>
        </w:rPr>
        <w:tab/>
        <w:t xml:space="preserve">     </w:t>
      </w:r>
      <w:r w:rsidR="004A69F8">
        <w:rPr>
          <w:rFonts w:ascii="Book Antiqua" w:eastAsia="Book Antiqua" w:hAnsi="Book Antiqua" w:cs="Book Antiqua"/>
          <w:color w:val="000000"/>
          <w:kern w:val="0"/>
          <w:szCs w:val="22"/>
          <w:lang w:val="es-PR"/>
          <w14:ligatures w14:val="none"/>
        </w:rPr>
        <w:t>7</w:t>
      </w:r>
      <w:r w:rsidR="004A69F8">
        <w:rPr>
          <w:rFonts w:ascii="Book Antiqua" w:eastAsia="Book Antiqua" w:hAnsi="Book Antiqua" w:cs="Book Antiqua"/>
          <w:color w:val="000000"/>
          <w:kern w:val="0"/>
          <w:szCs w:val="22"/>
          <w:vertAlign w:val="superscript"/>
          <w:lang w:val="es-PR"/>
          <w14:ligatures w14:val="none"/>
        </w:rPr>
        <w:t>m</w:t>
      </w:r>
      <w:r w:rsidRPr="007F4FCA">
        <w:rPr>
          <w:rFonts w:ascii="Book Antiqua" w:eastAsia="Book Antiqua" w:hAnsi="Book Antiqua" w:cs="Book Antiqua"/>
          <w:color w:val="000000"/>
          <w:kern w:val="0"/>
          <w:szCs w:val="22"/>
          <w:vertAlign w:val="superscript"/>
          <w:lang w:val="es-PR"/>
          <w14:ligatures w14:val="none"/>
        </w:rPr>
        <w:t>a.</w:t>
      </w:r>
      <w:r w:rsidRPr="007F4FCA">
        <w:rPr>
          <w:rFonts w:ascii="Book Antiqua" w:eastAsia="Book Antiqua" w:hAnsi="Book Antiqua" w:cs="Book Antiqua"/>
          <w:color w:val="000000"/>
          <w:kern w:val="0"/>
          <w:szCs w:val="22"/>
          <w:lang w:val="es-PR"/>
          <w14:ligatures w14:val="none"/>
        </w:rPr>
        <w:t xml:space="preserve"> Sesión </w:t>
      </w:r>
    </w:p>
    <w:p w14:paraId="32313335" w14:textId="77777777" w:rsidR="007F4FCA" w:rsidRPr="007F4FCA" w:rsidRDefault="007F4FCA" w:rsidP="007B060F">
      <w:pPr>
        <w:tabs>
          <w:tab w:val="center" w:pos="2161"/>
          <w:tab w:val="center" w:pos="2881"/>
          <w:tab w:val="center" w:pos="3601"/>
          <w:tab w:val="center" w:pos="4321"/>
          <w:tab w:val="center" w:pos="5041"/>
          <w:tab w:val="center" w:pos="5761"/>
          <w:tab w:val="center" w:pos="6482"/>
          <w:tab w:val="right" w:pos="9365"/>
        </w:tabs>
        <w:spacing w:after="11" w:line="21" w:lineRule="atLeast"/>
        <w:ind w:left="-15"/>
        <w:rPr>
          <w:rFonts w:ascii="Book Antiqua" w:eastAsia="Book Antiqua" w:hAnsi="Book Antiqua" w:cs="Book Antiqua"/>
          <w:color w:val="000000"/>
          <w:kern w:val="0"/>
          <w:szCs w:val="22"/>
          <w:lang w:val="es-PR"/>
          <w14:ligatures w14:val="none"/>
        </w:rPr>
      </w:pPr>
      <w:r w:rsidRPr="007F4FCA">
        <w:rPr>
          <w:rFonts w:ascii="Book Antiqua" w:eastAsia="Book Antiqua" w:hAnsi="Book Antiqua" w:cs="Book Antiqua"/>
          <w:color w:val="000000"/>
          <w:kern w:val="0"/>
          <w:szCs w:val="22"/>
          <w:lang w:val="es-PR"/>
          <w14:ligatures w14:val="none"/>
        </w:rPr>
        <w:t xml:space="preserve">       Legislativa </w:t>
      </w:r>
      <w:r w:rsidRPr="007F4FCA">
        <w:rPr>
          <w:rFonts w:ascii="Book Antiqua" w:eastAsia="Book Antiqua" w:hAnsi="Book Antiqua" w:cs="Book Antiqua"/>
          <w:color w:val="000000"/>
          <w:kern w:val="0"/>
          <w:szCs w:val="22"/>
          <w:lang w:val="es-PR"/>
          <w14:ligatures w14:val="none"/>
        </w:rPr>
        <w:tab/>
        <w:t xml:space="preserve"> </w:t>
      </w:r>
      <w:r w:rsidRPr="007F4FCA">
        <w:rPr>
          <w:rFonts w:ascii="Book Antiqua" w:eastAsia="Book Antiqua" w:hAnsi="Book Antiqua" w:cs="Book Antiqua"/>
          <w:color w:val="000000"/>
          <w:kern w:val="0"/>
          <w:szCs w:val="22"/>
          <w:lang w:val="es-PR"/>
          <w14:ligatures w14:val="none"/>
        </w:rPr>
        <w:tab/>
        <w:t xml:space="preserve"> </w:t>
      </w:r>
      <w:r w:rsidRPr="007F4FCA">
        <w:rPr>
          <w:rFonts w:ascii="Book Antiqua" w:eastAsia="Book Antiqua" w:hAnsi="Book Antiqua" w:cs="Book Antiqua"/>
          <w:color w:val="000000"/>
          <w:kern w:val="0"/>
          <w:szCs w:val="22"/>
          <w:lang w:val="es-PR"/>
          <w14:ligatures w14:val="none"/>
        </w:rPr>
        <w:tab/>
        <w:t xml:space="preserve"> </w:t>
      </w:r>
      <w:r w:rsidRPr="007F4FCA">
        <w:rPr>
          <w:rFonts w:ascii="Book Antiqua" w:eastAsia="Book Antiqua" w:hAnsi="Book Antiqua" w:cs="Book Antiqua"/>
          <w:color w:val="000000"/>
          <w:kern w:val="0"/>
          <w:szCs w:val="22"/>
          <w:lang w:val="es-PR"/>
          <w14:ligatures w14:val="none"/>
        </w:rPr>
        <w:tab/>
        <w:t xml:space="preserve"> </w:t>
      </w:r>
      <w:r w:rsidRPr="007F4FCA">
        <w:rPr>
          <w:rFonts w:ascii="Book Antiqua" w:eastAsia="Book Antiqua" w:hAnsi="Book Antiqua" w:cs="Book Antiqua"/>
          <w:color w:val="000000"/>
          <w:kern w:val="0"/>
          <w:szCs w:val="22"/>
          <w:lang w:val="es-PR"/>
          <w14:ligatures w14:val="none"/>
        </w:rPr>
        <w:tab/>
        <w:t xml:space="preserve"> </w:t>
      </w:r>
      <w:r w:rsidRPr="007F4FCA">
        <w:rPr>
          <w:rFonts w:ascii="Book Antiqua" w:eastAsia="Book Antiqua" w:hAnsi="Book Antiqua" w:cs="Book Antiqua"/>
          <w:color w:val="000000"/>
          <w:kern w:val="0"/>
          <w:szCs w:val="22"/>
          <w:lang w:val="es-PR"/>
          <w14:ligatures w14:val="none"/>
        </w:rPr>
        <w:tab/>
        <w:t xml:space="preserve"> </w:t>
      </w:r>
      <w:r w:rsidRPr="007F4FCA">
        <w:rPr>
          <w:rFonts w:ascii="Book Antiqua" w:eastAsia="Book Antiqua" w:hAnsi="Book Antiqua" w:cs="Book Antiqua"/>
          <w:color w:val="000000"/>
          <w:kern w:val="0"/>
          <w:szCs w:val="22"/>
          <w:lang w:val="es-PR"/>
          <w14:ligatures w14:val="none"/>
        </w:rPr>
        <w:tab/>
        <w:t xml:space="preserve"> </w:t>
      </w:r>
      <w:r w:rsidRPr="007F4FCA">
        <w:rPr>
          <w:rFonts w:ascii="Book Antiqua" w:eastAsia="Book Antiqua" w:hAnsi="Book Antiqua" w:cs="Book Antiqua"/>
          <w:color w:val="000000"/>
          <w:kern w:val="0"/>
          <w:szCs w:val="22"/>
          <w:lang w:val="es-PR"/>
          <w14:ligatures w14:val="none"/>
        </w:rPr>
        <w:tab/>
        <w:t xml:space="preserve">                  Ordinaria </w:t>
      </w:r>
    </w:p>
    <w:p w14:paraId="2486407D" w14:textId="77777777" w:rsidR="007F4FCA" w:rsidRPr="007F4FCA" w:rsidRDefault="007F4FCA" w:rsidP="007B060F">
      <w:pPr>
        <w:spacing w:after="83" w:line="21" w:lineRule="atLeast"/>
        <w:rPr>
          <w:rFonts w:ascii="Book Antiqua" w:eastAsia="Book Antiqua" w:hAnsi="Book Antiqua" w:cs="Book Antiqua"/>
          <w:color w:val="000000"/>
          <w:kern w:val="0"/>
          <w:szCs w:val="22"/>
          <w:lang w:val="es-PR"/>
          <w14:ligatures w14:val="none"/>
        </w:rPr>
      </w:pPr>
      <w:r w:rsidRPr="007F4FCA">
        <w:rPr>
          <w:rFonts w:ascii="Book Antiqua" w:eastAsia="Book Antiqua" w:hAnsi="Book Antiqua" w:cs="Book Antiqua"/>
          <w:color w:val="000000"/>
          <w:kern w:val="0"/>
          <w:szCs w:val="22"/>
          <w:lang w:val="es-PR"/>
          <w14:ligatures w14:val="none"/>
        </w:rPr>
        <w:t xml:space="preserve"> </w:t>
      </w:r>
    </w:p>
    <w:p w14:paraId="4D64B2C8" w14:textId="77777777" w:rsidR="007F4FCA" w:rsidRPr="007F4FCA" w:rsidRDefault="007F4FCA" w:rsidP="007B060F">
      <w:pPr>
        <w:spacing w:line="21" w:lineRule="atLeast"/>
        <w:ind w:right="7"/>
        <w:jc w:val="center"/>
        <w:rPr>
          <w:rFonts w:ascii="Book Antiqua" w:eastAsia="Book Antiqua" w:hAnsi="Book Antiqua" w:cs="Book Antiqua"/>
          <w:color w:val="000000"/>
          <w:kern w:val="0"/>
          <w:szCs w:val="22"/>
          <w:lang w:val="es-PR"/>
          <w14:ligatures w14:val="none"/>
        </w:rPr>
      </w:pPr>
      <w:r w:rsidRPr="007F4FCA">
        <w:rPr>
          <w:rFonts w:ascii="Book Antiqua" w:eastAsia="Book Antiqua" w:hAnsi="Book Antiqua" w:cs="Book Antiqua"/>
          <w:b/>
          <w:color w:val="000000"/>
          <w:kern w:val="0"/>
          <w:sz w:val="36"/>
          <w:szCs w:val="22"/>
          <w:lang w:val="es-PR"/>
          <w14:ligatures w14:val="none"/>
        </w:rPr>
        <w:t xml:space="preserve">SENADO DE PUERTO RICO </w:t>
      </w:r>
    </w:p>
    <w:p w14:paraId="2B2B856A" w14:textId="77777777" w:rsidR="007F4FCA" w:rsidRPr="007F4FCA" w:rsidRDefault="007F4FCA" w:rsidP="007B060F">
      <w:pPr>
        <w:spacing w:after="96" w:line="21" w:lineRule="atLeast"/>
        <w:ind w:left="87"/>
        <w:jc w:val="center"/>
        <w:rPr>
          <w:rFonts w:ascii="Book Antiqua" w:eastAsia="Book Antiqua" w:hAnsi="Book Antiqua" w:cs="Book Antiqua"/>
          <w:color w:val="000000"/>
          <w:kern w:val="0"/>
          <w:szCs w:val="22"/>
          <w:lang w:val="es-PR"/>
          <w14:ligatures w14:val="none"/>
        </w:rPr>
      </w:pPr>
      <w:r w:rsidRPr="007F4FCA">
        <w:rPr>
          <w:rFonts w:ascii="Book Antiqua" w:eastAsia="Book Antiqua" w:hAnsi="Book Antiqua" w:cs="Book Antiqua"/>
          <w:b/>
          <w:color w:val="000000"/>
          <w:kern w:val="0"/>
          <w:sz w:val="36"/>
          <w:szCs w:val="22"/>
          <w:lang w:val="es-PR"/>
          <w14:ligatures w14:val="none"/>
        </w:rPr>
        <w:t xml:space="preserve"> </w:t>
      </w:r>
    </w:p>
    <w:p w14:paraId="3FA9F66B" w14:textId="414A15C1" w:rsidR="007F4FCA" w:rsidRPr="007F4FCA" w:rsidRDefault="007F4FCA" w:rsidP="007B060F">
      <w:pPr>
        <w:keepNext/>
        <w:keepLines/>
        <w:spacing w:line="21" w:lineRule="atLeast"/>
        <w:ind w:right="3"/>
        <w:jc w:val="center"/>
        <w:outlineLvl w:val="0"/>
        <w:rPr>
          <w:rFonts w:ascii="Book Antiqua" w:eastAsia="Book Antiqua" w:hAnsi="Book Antiqua" w:cs="Book Antiqua"/>
          <w:b/>
          <w:color w:val="000000"/>
          <w:kern w:val="0"/>
          <w:sz w:val="52"/>
          <w:szCs w:val="22"/>
          <w:lang w:val="es-PR"/>
          <w14:ligatures w14:val="none"/>
        </w:rPr>
      </w:pPr>
      <w:r w:rsidRPr="007F4FCA">
        <w:rPr>
          <w:rFonts w:ascii="Book Antiqua" w:eastAsia="Book Antiqua" w:hAnsi="Book Antiqua" w:cs="Book Antiqua"/>
          <w:b/>
          <w:color w:val="000000"/>
          <w:kern w:val="0"/>
          <w:sz w:val="52"/>
          <w:szCs w:val="22"/>
          <w:lang w:val="es-PR"/>
          <w14:ligatures w14:val="none"/>
        </w:rPr>
        <w:t>P. de</w:t>
      </w:r>
      <w:r>
        <w:rPr>
          <w:rFonts w:ascii="Book Antiqua" w:eastAsia="Book Antiqua" w:hAnsi="Book Antiqua" w:cs="Book Antiqua"/>
          <w:b/>
          <w:color w:val="000000"/>
          <w:kern w:val="0"/>
          <w:sz w:val="52"/>
          <w:szCs w:val="22"/>
          <w:lang w:val="es-PR"/>
          <w14:ligatures w14:val="none"/>
        </w:rPr>
        <w:t>l S. 920</w:t>
      </w:r>
    </w:p>
    <w:p w14:paraId="765F4893" w14:textId="77777777" w:rsidR="007F4FCA" w:rsidRPr="007F4FCA" w:rsidRDefault="007F4FCA" w:rsidP="007B060F">
      <w:pPr>
        <w:spacing w:line="21" w:lineRule="atLeast"/>
        <w:ind w:left="57"/>
        <w:jc w:val="center"/>
        <w:rPr>
          <w:rFonts w:ascii="Book Antiqua" w:eastAsia="Book Antiqua" w:hAnsi="Book Antiqua" w:cs="Book Antiqua"/>
          <w:color w:val="000000"/>
          <w:kern w:val="0"/>
          <w:szCs w:val="22"/>
          <w:lang w:val="es-PR"/>
          <w14:ligatures w14:val="none"/>
        </w:rPr>
      </w:pPr>
      <w:r w:rsidRPr="007F4FCA">
        <w:rPr>
          <w:rFonts w:ascii="Book Antiqua" w:eastAsia="Book Antiqua" w:hAnsi="Book Antiqua" w:cs="Book Antiqua"/>
          <w:color w:val="000000"/>
          <w:kern w:val="0"/>
          <w:szCs w:val="22"/>
          <w:lang w:val="es-PR"/>
          <w14:ligatures w14:val="none"/>
        </w:rPr>
        <w:t xml:space="preserve"> </w:t>
      </w:r>
    </w:p>
    <w:p w14:paraId="40702A36" w14:textId="77777777" w:rsidR="007F4FCA" w:rsidRPr="007F4FCA" w:rsidRDefault="007F4FCA" w:rsidP="007B060F">
      <w:pPr>
        <w:spacing w:line="21" w:lineRule="atLeast"/>
        <w:ind w:left="10" w:right="6" w:hanging="10"/>
        <w:jc w:val="center"/>
        <w:rPr>
          <w:rFonts w:ascii="Book Antiqua" w:eastAsia="Book Antiqua" w:hAnsi="Book Antiqua" w:cs="Book Antiqua"/>
          <w:color w:val="000000"/>
          <w:kern w:val="0"/>
          <w:szCs w:val="22"/>
          <w:lang w:val="es-PR"/>
          <w14:ligatures w14:val="none"/>
        </w:rPr>
      </w:pPr>
      <w:r w:rsidRPr="007F4FCA">
        <w:rPr>
          <w:rFonts w:ascii="Book Antiqua" w:eastAsia="Book Antiqua" w:hAnsi="Book Antiqua" w:cs="Book Antiqua"/>
          <w:color w:val="000000"/>
          <w:kern w:val="0"/>
          <w:szCs w:val="22"/>
          <w:lang w:val="es-PR"/>
          <w14:ligatures w14:val="none"/>
        </w:rPr>
        <w:t xml:space="preserve">INFORME POSITIVO </w:t>
      </w:r>
    </w:p>
    <w:p w14:paraId="2A10285E" w14:textId="77777777" w:rsidR="007F4FCA" w:rsidRPr="007F4FCA" w:rsidRDefault="007F4FCA" w:rsidP="007B060F">
      <w:pPr>
        <w:spacing w:line="21" w:lineRule="atLeast"/>
        <w:ind w:left="57"/>
        <w:jc w:val="center"/>
        <w:rPr>
          <w:rFonts w:ascii="Book Antiqua" w:eastAsia="Book Antiqua" w:hAnsi="Book Antiqua" w:cs="Book Antiqua"/>
          <w:color w:val="000000"/>
          <w:kern w:val="0"/>
          <w:szCs w:val="22"/>
          <w:lang w:val="es-PR"/>
          <w14:ligatures w14:val="none"/>
        </w:rPr>
      </w:pPr>
      <w:r w:rsidRPr="007F4FCA">
        <w:rPr>
          <w:rFonts w:ascii="Book Antiqua" w:eastAsia="Book Antiqua" w:hAnsi="Book Antiqua" w:cs="Book Antiqua"/>
          <w:color w:val="000000"/>
          <w:kern w:val="0"/>
          <w:szCs w:val="22"/>
          <w:lang w:val="es-PR"/>
          <w14:ligatures w14:val="none"/>
        </w:rPr>
        <w:t xml:space="preserve"> </w:t>
      </w:r>
    </w:p>
    <w:p w14:paraId="48E97451" w14:textId="3114FD5D" w:rsidR="007F4FCA" w:rsidRPr="007F4FCA" w:rsidRDefault="004C08EA" w:rsidP="007B060F">
      <w:pPr>
        <w:spacing w:line="21" w:lineRule="atLeast"/>
        <w:ind w:left="10" w:right="2" w:hanging="10"/>
        <w:jc w:val="center"/>
        <w:rPr>
          <w:rFonts w:ascii="Book Antiqua" w:eastAsia="Book Antiqua" w:hAnsi="Book Antiqua" w:cs="Book Antiqua"/>
          <w:color w:val="000000"/>
          <w:kern w:val="0"/>
          <w:szCs w:val="22"/>
          <w:lang w:val="es-PR"/>
          <w14:ligatures w14:val="none"/>
        </w:rPr>
      </w:pPr>
      <w:r>
        <w:rPr>
          <w:rFonts w:ascii="Book Antiqua" w:eastAsia="Book Antiqua" w:hAnsi="Book Antiqua" w:cs="Book Antiqua"/>
          <w:color w:val="000000"/>
          <w:kern w:val="0"/>
          <w:szCs w:val="22"/>
          <w:lang w:val="es-PR"/>
          <w14:ligatures w14:val="none"/>
        </w:rPr>
        <w:t>14</w:t>
      </w:r>
      <w:r w:rsidR="007F4FCA" w:rsidRPr="007F4FCA">
        <w:rPr>
          <w:rFonts w:ascii="Book Antiqua" w:eastAsia="Book Antiqua" w:hAnsi="Book Antiqua" w:cs="Book Antiqua"/>
          <w:color w:val="000000"/>
          <w:kern w:val="0"/>
          <w:szCs w:val="22"/>
          <w:lang w:val="es-PR"/>
          <w14:ligatures w14:val="none"/>
        </w:rPr>
        <w:t xml:space="preserve"> de </w:t>
      </w:r>
      <w:r>
        <w:rPr>
          <w:rFonts w:ascii="Book Antiqua" w:eastAsia="Book Antiqua" w:hAnsi="Book Antiqua" w:cs="Book Antiqua"/>
          <w:color w:val="000000"/>
          <w:kern w:val="0"/>
          <w:szCs w:val="22"/>
          <w:lang w:val="es-PR"/>
          <w14:ligatures w14:val="none"/>
        </w:rPr>
        <w:t>febrero</w:t>
      </w:r>
      <w:r w:rsidR="007F4FCA" w:rsidRPr="007F4FCA">
        <w:rPr>
          <w:rFonts w:ascii="Book Antiqua" w:eastAsia="Book Antiqua" w:hAnsi="Book Antiqua" w:cs="Book Antiqua"/>
          <w:color w:val="000000"/>
          <w:kern w:val="0"/>
          <w:szCs w:val="22"/>
          <w:lang w:val="es-PR"/>
          <w14:ligatures w14:val="none"/>
        </w:rPr>
        <w:t xml:space="preserve"> de 202</w:t>
      </w:r>
      <w:r>
        <w:rPr>
          <w:rFonts w:ascii="Book Antiqua" w:eastAsia="Book Antiqua" w:hAnsi="Book Antiqua" w:cs="Book Antiqua"/>
          <w:color w:val="000000"/>
          <w:kern w:val="0"/>
          <w:szCs w:val="22"/>
          <w:lang w:val="es-PR"/>
          <w14:ligatures w14:val="none"/>
        </w:rPr>
        <w:t>4</w:t>
      </w:r>
      <w:r w:rsidR="007F4FCA" w:rsidRPr="007F4FCA">
        <w:rPr>
          <w:rFonts w:ascii="Book Antiqua" w:eastAsia="Book Antiqua" w:hAnsi="Book Antiqua" w:cs="Book Antiqua"/>
          <w:color w:val="000000"/>
          <w:kern w:val="0"/>
          <w:szCs w:val="22"/>
          <w:lang w:val="es-PR"/>
          <w14:ligatures w14:val="none"/>
        </w:rPr>
        <w:t xml:space="preserve"> </w:t>
      </w:r>
    </w:p>
    <w:bookmarkEnd w:id="0"/>
    <w:p w14:paraId="500CBD26" w14:textId="77777777" w:rsidR="00937BCA" w:rsidRPr="00BD2DDD" w:rsidRDefault="00937BCA" w:rsidP="007B060F">
      <w:pPr>
        <w:spacing w:before="280" w:line="21" w:lineRule="atLeast"/>
        <w:jc w:val="both"/>
        <w:rPr>
          <w:rFonts w:ascii="Book Antiqua" w:eastAsia="Times New Roman" w:hAnsi="Book Antiqua" w:cs="Times New Roman"/>
          <w:b/>
          <w:bCs/>
          <w:color w:val="000000"/>
          <w:kern w:val="0"/>
          <w:szCs w:val="20"/>
          <w:lang w:val="es-ES_tradnl"/>
          <w14:ligatures w14:val="none"/>
        </w:rPr>
      </w:pPr>
      <w:r w:rsidRPr="00BD2DDD">
        <w:rPr>
          <w:rFonts w:ascii="Book Antiqua" w:eastAsia="Times New Roman" w:hAnsi="Book Antiqua" w:cs="Times New Roman"/>
          <w:b/>
          <w:bCs/>
          <w:color w:val="000000"/>
          <w:kern w:val="0"/>
          <w:szCs w:val="20"/>
          <w:lang w:val="es-ES_tradnl"/>
          <w14:ligatures w14:val="none"/>
        </w:rPr>
        <w:t>AL SENADO DE PUERTO RICO:</w:t>
      </w:r>
    </w:p>
    <w:p w14:paraId="13C1407C" w14:textId="77777777" w:rsidR="00937BCA" w:rsidRPr="00BD2DDD" w:rsidRDefault="00937BCA" w:rsidP="007B060F">
      <w:pPr>
        <w:spacing w:before="240" w:line="21" w:lineRule="atLeast"/>
        <w:jc w:val="both"/>
        <w:rPr>
          <w:rFonts w:ascii="Book Antiqua" w:eastAsia="Times New Roman" w:hAnsi="Book Antiqua" w:cs="Times New Roman"/>
          <w:color w:val="000000"/>
          <w:kern w:val="0"/>
          <w:szCs w:val="20"/>
          <w:lang w:val="es-ES_tradnl"/>
          <w14:ligatures w14:val="none"/>
        </w:rPr>
      </w:pPr>
      <w:r w:rsidRPr="00BD2DDD">
        <w:rPr>
          <w:rFonts w:ascii="Book Antiqua" w:eastAsia="Times New Roman" w:hAnsi="Book Antiqua" w:cs="Times New Roman"/>
          <w:color w:val="000000"/>
          <w:kern w:val="0"/>
          <w:szCs w:val="20"/>
          <w:lang w:val="es-ES_tradnl"/>
          <w14:ligatures w14:val="none"/>
        </w:rPr>
        <w:tab/>
        <w:t>La Comisión de lo Jurídico y Desarrollo Económico del Senado de Puerto Rico, previo estudio y consideración, recomienda la aprobación del P. de S. 920, con enmiendas, según incluidas en el Entirillado Electrónico que se acompaña.</w:t>
      </w:r>
    </w:p>
    <w:p w14:paraId="77D39B2D" w14:textId="77777777" w:rsidR="00937BCA" w:rsidRPr="00BD2DDD" w:rsidRDefault="00937BCA" w:rsidP="007B060F">
      <w:pPr>
        <w:keepNext/>
        <w:spacing w:before="240" w:after="240" w:line="21" w:lineRule="atLeast"/>
        <w:jc w:val="center"/>
        <w:outlineLvl w:val="0"/>
        <w:rPr>
          <w:rFonts w:ascii="Book Antiqua" w:eastAsia="Times New Roman" w:hAnsi="Book Antiqua" w:cs="Times New Roman"/>
          <w:b/>
          <w:color w:val="000000"/>
          <w:kern w:val="28"/>
          <w:szCs w:val="20"/>
          <w:u w:val="single"/>
          <w:lang w:val="es-ES_tradnl"/>
          <w14:ligatures w14:val="none"/>
        </w:rPr>
      </w:pPr>
      <w:r w:rsidRPr="00BD2DDD">
        <w:rPr>
          <w:rFonts w:ascii="Book Antiqua" w:eastAsia="Times New Roman" w:hAnsi="Book Antiqua" w:cs="Times New Roman"/>
          <w:b/>
          <w:color w:val="000000"/>
          <w:kern w:val="28"/>
          <w:szCs w:val="20"/>
          <w:u w:val="single"/>
          <w:lang w:val="es-ES_tradnl"/>
          <w14:ligatures w14:val="none"/>
        </w:rPr>
        <w:t>ALCANCE DEL INFORME</w:t>
      </w:r>
    </w:p>
    <w:p w14:paraId="0C480033" w14:textId="77777777" w:rsidR="00937BCA" w:rsidRPr="00BD2DDD" w:rsidRDefault="00937BCA" w:rsidP="007B060F">
      <w:pPr>
        <w:spacing w:after="240" w:line="21" w:lineRule="atLeast"/>
        <w:ind w:firstLine="432"/>
        <w:jc w:val="both"/>
        <w:rPr>
          <w:rFonts w:ascii="Book Antiqua" w:hAnsi="Book Antiqua"/>
          <w:lang w:val="es-ES_tradnl"/>
        </w:rPr>
      </w:pPr>
      <w:r w:rsidRPr="00BD2DDD">
        <w:rPr>
          <w:rFonts w:ascii="Book Antiqua" w:hAnsi="Book Antiqua"/>
          <w:lang w:val="es-ES_tradnl"/>
        </w:rPr>
        <w:t>El Proyecto del Senado 920 tiene como propósito “enmendar los Artículos 97, 98, 107, 389, 406, 411, 580, 582, 584, 595, 655, 682 y 1641, y derogar los Artículos 381, 382, 409, 639, 640, 641, 642, 643, 644, 645, 646, 647, 648, 649, 650, 651 y 652 de la Ley Núm. 55-2020, según enmendada, conocida como “Código Civil de Puerto Rico”; se enmienda el Artículo 2 de la Ley Núm. 338-1998, según enmendada, conocida como “Carta de los Derechos del Niño.”; Artículo 4 del Código de Comercio, según enmendado; el inciso (a) del Artículo 2 de la Ley Núm. 296-2012, conocida como “Ley Uniforme de Procedimientos de Protección y Jurisdicción en casos de Tutela de Adultos de Puerto Rico”;  el inciso (a)(1) y (a)(9) del Artículo 2.02 de la Ley Núm. 168-2019, según enmendada, conocida como “Ley de Armas de Puerto Rico de 2020”;  el inciso (a) del Artículo 2 y el inciso (g) del Artículo 10  de la Ley Núm. 42-2017, según enmendada, conocida como “Ley para Manejar el Estudio, Desarrollo e Investigación del Cannabis para la Innovación, Normas Aplicables y Límites (“Ley MEDICINAL”)”, a los fines de armonizarlos con la presente legislación, con la que se instituye que la mayoría de edad en Puerto Rico comienza cumplidos los dieciocho (18) años de edad”.</w:t>
      </w:r>
    </w:p>
    <w:p w14:paraId="6797F4F4" w14:textId="142018F9" w:rsidR="00937BCA" w:rsidRPr="00BD2DDD" w:rsidRDefault="00937BCA" w:rsidP="007B060F">
      <w:pPr>
        <w:pStyle w:val="Title"/>
        <w:spacing w:line="21" w:lineRule="atLeast"/>
        <w:rPr>
          <w:lang w:val="es-ES_tradnl"/>
        </w:rPr>
      </w:pPr>
      <w:r w:rsidRPr="00BD2DDD">
        <w:rPr>
          <w:lang w:val="es-ES_tradnl"/>
        </w:rPr>
        <w:t>ALCANCE DE LA MEDIDA</w:t>
      </w:r>
    </w:p>
    <w:p w14:paraId="576D5B08" w14:textId="77777777" w:rsidR="00CC0120" w:rsidRDefault="00937BCA" w:rsidP="007B060F">
      <w:pPr>
        <w:spacing w:after="240" w:line="21" w:lineRule="atLeast"/>
        <w:ind w:firstLine="432"/>
        <w:jc w:val="both"/>
        <w:rPr>
          <w:rFonts w:ascii="Book Antiqua" w:eastAsia="Times New Roman" w:hAnsi="Book Antiqua" w:cs="Times New Roman"/>
          <w:color w:val="000000"/>
          <w:kern w:val="0"/>
          <w:szCs w:val="20"/>
          <w:lang w:val="es-ES_tradnl"/>
          <w14:ligatures w14:val="none"/>
        </w:rPr>
      </w:pPr>
      <w:r w:rsidRPr="00BD2DDD">
        <w:rPr>
          <w:rFonts w:ascii="Book Antiqua" w:eastAsia="Times New Roman" w:hAnsi="Book Antiqua" w:cs="Times New Roman"/>
          <w:color w:val="000000"/>
          <w:kern w:val="0"/>
          <w:szCs w:val="20"/>
          <w:lang w:val="es-ES_tradnl"/>
          <w14:ligatures w14:val="none"/>
        </w:rPr>
        <w:t xml:space="preserve">La Comisión </w:t>
      </w:r>
      <w:r w:rsidR="008B446C">
        <w:rPr>
          <w:rFonts w:ascii="Book Antiqua" w:eastAsia="Times New Roman" w:hAnsi="Book Antiqua" w:cs="Times New Roman"/>
          <w:color w:val="000000"/>
          <w:kern w:val="0"/>
          <w:szCs w:val="20"/>
          <w:lang w:val="es-ES_tradnl"/>
          <w14:ligatures w14:val="none"/>
        </w:rPr>
        <w:t>que suscribe</w:t>
      </w:r>
      <w:r w:rsidRPr="00BD2DDD">
        <w:rPr>
          <w:rFonts w:ascii="Book Antiqua" w:eastAsia="Times New Roman" w:hAnsi="Book Antiqua" w:cs="Times New Roman"/>
          <w:color w:val="000000"/>
          <w:kern w:val="0"/>
          <w:szCs w:val="20"/>
          <w:lang w:val="es-ES_tradnl"/>
          <w14:ligatures w14:val="none"/>
        </w:rPr>
        <w:t xml:space="preserve"> solicitó y obtuvo comentarios del Departamento de la Familia; Departamento de Justicia; Colegio de </w:t>
      </w:r>
      <w:r w:rsidR="00F16C0E" w:rsidRPr="00BD2DDD">
        <w:rPr>
          <w:rFonts w:ascii="Book Antiqua" w:eastAsia="Times New Roman" w:hAnsi="Book Antiqua" w:cs="Times New Roman"/>
          <w:color w:val="000000"/>
          <w:kern w:val="0"/>
          <w:szCs w:val="20"/>
          <w:lang w:val="es-ES_tradnl"/>
          <w14:ligatures w14:val="none"/>
        </w:rPr>
        <w:t>Abogados</w:t>
      </w:r>
      <w:r w:rsidRPr="00BD2DDD">
        <w:rPr>
          <w:rFonts w:ascii="Book Antiqua" w:eastAsia="Times New Roman" w:hAnsi="Book Antiqua" w:cs="Times New Roman"/>
          <w:color w:val="000000"/>
          <w:kern w:val="0"/>
          <w:szCs w:val="20"/>
          <w:lang w:val="es-ES_tradnl"/>
          <w14:ligatures w14:val="none"/>
        </w:rPr>
        <w:t xml:space="preserve"> de Puerto Rico</w:t>
      </w:r>
      <w:r w:rsidR="00F16C0E">
        <w:rPr>
          <w:rFonts w:ascii="Book Antiqua" w:eastAsia="Times New Roman" w:hAnsi="Book Antiqua" w:cs="Times New Roman"/>
          <w:color w:val="000000"/>
          <w:kern w:val="0"/>
          <w:szCs w:val="20"/>
          <w:lang w:val="es-ES_tradnl"/>
          <w14:ligatures w14:val="none"/>
        </w:rPr>
        <w:t xml:space="preserve"> (CAPR)</w:t>
      </w:r>
      <w:r w:rsidRPr="00BD2DDD">
        <w:rPr>
          <w:rFonts w:ascii="Book Antiqua" w:eastAsia="Times New Roman" w:hAnsi="Book Antiqua" w:cs="Times New Roman"/>
          <w:color w:val="000000"/>
          <w:kern w:val="0"/>
          <w:szCs w:val="20"/>
          <w:lang w:val="es-ES_tradnl"/>
          <w14:ligatures w14:val="none"/>
        </w:rPr>
        <w:t xml:space="preserve">; </w:t>
      </w:r>
      <w:r w:rsidRPr="00BD2DDD">
        <w:rPr>
          <w:rFonts w:ascii="Book Antiqua" w:eastAsia="Times New Roman" w:hAnsi="Book Antiqua" w:cs="Times New Roman"/>
          <w:color w:val="000000"/>
          <w:kern w:val="0"/>
          <w:szCs w:val="20"/>
          <w:lang w:val="es-ES_tradnl"/>
          <w14:ligatures w14:val="none"/>
        </w:rPr>
        <w:lastRenderedPageBreak/>
        <w:t>Universidad de Puerto Rico</w:t>
      </w:r>
      <w:r w:rsidR="00341ECB">
        <w:rPr>
          <w:rFonts w:ascii="Book Antiqua" w:eastAsia="Times New Roman" w:hAnsi="Book Antiqua" w:cs="Times New Roman"/>
          <w:color w:val="000000"/>
          <w:kern w:val="0"/>
          <w:szCs w:val="20"/>
          <w:lang w:val="es-ES_tradnl"/>
          <w14:ligatures w14:val="none"/>
        </w:rPr>
        <w:t xml:space="preserve"> (UPR)</w:t>
      </w:r>
      <w:r w:rsidRPr="00BD2DDD">
        <w:rPr>
          <w:rFonts w:ascii="Book Antiqua" w:eastAsia="Times New Roman" w:hAnsi="Book Antiqua" w:cs="Times New Roman"/>
          <w:color w:val="000000"/>
          <w:kern w:val="0"/>
          <w:szCs w:val="20"/>
          <w:lang w:val="es-ES_tradnl"/>
          <w14:ligatures w14:val="none"/>
        </w:rPr>
        <w:t xml:space="preserve">; la Administración de Seguros de Salud (ASES); </w:t>
      </w:r>
      <w:r w:rsidR="00712075">
        <w:rPr>
          <w:rFonts w:ascii="Book Antiqua" w:eastAsia="Times New Roman" w:hAnsi="Book Antiqua" w:cs="Times New Roman"/>
          <w:color w:val="000000"/>
          <w:kern w:val="0"/>
          <w:szCs w:val="20"/>
          <w:lang w:val="es-ES_tradnl"/>
          <w14:ligatures w14:val="none"/>
        </w:rPr>
        <w:t xml:space="preserve">Oficina de Gerencia y Presupuesto (OGP); </w:t>
      </w:r>
      <w:r w:rsidRPr="00BD2DDD">
        <w:rPr>
          <w:rFonts w:ascii="Book Antiqua" w:eastAsia="Times New Roman" w:hAnsi="Book Antiqua" w:cs="Times New Roman"/>
          <w:color w:val="000000"/>
          <w:kern w:val="0"/>
          <w:szCs w:val="20"/>
          <w:lang w:val="es-ES_tradnl"/>
          <w14:ligatures w14:val="none"/>
        </w:rPr>
        <w:t>el Instituto del Desarrollo de la Juventud; la Asociación de Compañías de Seguros de Puerto Rico (ACODESE); y la Asociación de Bancos de Puerto Rico</w:t>
      </w:r>
      <w:r w:rsidR="008E17B6">
        <w:rPr>
          <w:rFonts w:ascii="Book Antiqua" w:eastAsia="Times New Roman" w:hAnsi="Book Antiqua" w:cs="Times New Roman"/>
          <w:color w:val="000000"/>
          <w:kern w:val="0"/>
          <w:szCs w:val="20"/>
          <w:lang w:val="es-ES_tradnl"/>
          <w14:ligatures w14:val="none"/>
        </w:rPr>
        <w:t xml:space="preserve"> (ABPR)</w:t>
      </w:r>
      <w:r w:rsidRPr="00BD2DDD">
        <w:rPr>
          <w:rFonts w:ascii="Book Antiqua" w:eastAsia="Times New Roman" w:hAnsi="Book Antiqua" w:cs="Times New Roman"/>
          <w:color w:val="000000"/>
          <w:kern w:val="0"/>
          <w:szCs w:val="20"/>
          <w:lang w:val="es-ES_tradnl"/>
          <w14:ligatures w14:val="none"/>
        </w:rPr>
        <w:t xml:space="preserve">. </w:t>
      </w:r>
    </w:p>
    <w:p w14:paraId="13743870" w14:textId="396449BB" w:rsidR="00F15967" w:rsidRDefault="00937BCA" w:rsidP="007B060F">
      <w:pPr>
        <w:spacing w:after="240" w:line="21" w:lineRule="atLeast"/>
        <w:ind w:firstLine="432"/>
        <w:jc w:val="both"/>
        <w:rPr>
          <w:rFonts w:ascii="Book Antiqua" w:eastAsia="Times New Roman" w:hAnsi="Book Antiqua" w:cs="Times New Roman"/>
          <w:color w:val="000000"/>
          <w:kern w:val="0"/>
          <w:szCs w:val="20"/>
          <w:lang w:val="es-ES_tradnl"/>
          <w14:ligatures w14:val="none"/>
        </w:rPr>
      </w:pPr>
      <w:r w:rsidRPr="00BD2DDD">
        <w:rPr>
          <w:rFonts w:ascii="Book Antiqua" w:eastAsia="Times New Roman" w:hAnsi="Book Antiqua" w:cs="Times New Roman"/>
          <w:color w:val="000000"/>
          <w:kern w:val="0"/>
          <w:szCs w:val="20"/>
          <w:lang w:val="es-ES_tradnl"/>
          <w14:ligatures w14:val="none"/>
        </w:rPr>
        <w:t xml:space="preserve">Desafortunadamente, </w:t>
      </w:r>
      <w:r w:rsidRPr="00BD2DDD">
        <w:rPr>
          <w:rFonts w:ascii="Book Antiqua" w:eastAsia="Times New Roman" w:hAnsi="Book Antiqua" w:cs="Times New Roman"/>
          <w:b/>
          <w:bCs/>
          <w:color w:val="000000"/>
          <w:kern w:val="0"/>
          <w:szCs w:val="20"/>
          <w:u w:val="single"/>
          <w:lang w:val="es-ES_tradnl"/>
          <w14:ligatures w14:val="none"/>
        </w:rPr>
        <w:t>y a</w:t>
      </w:r>
      <w:r w:rsidR="008E17B6">
        <w:rPr>
          <w:rFonts w:ascii="Book Antiqua" w:eastAsia="Times New Roman" w:hAnsi="Book Antiqua" w:cs="Times New Roman"/>
          <w:b/>
          <w:bCs/>
          <w:color w:val="000000"/>
          <w:kern w:val="0"/>
          <w:szCs w:val="20"/>
          <w:u w:val="single"/>
          <w:lang w:val="es-ES_tradnl"/>
          <w14:ligatures w14:val="none"/>
        </w:rPr>
        <w:t xml:space="preserve"> </w:t>
      </w:r>
      <w:r w:rsidRPr="00BD2DDD">
        <w:rPr>
          <w:rFonts w:ascii="Book Antiqua" w:eastAsia="Times New Roman" w:hAnsi="Book Antiqua" w:cs="Times New Roman"/>
          <w:b/>
          <w:bCs/>
          <w:color w:val="000000"/>
          <w:kern w:val="0"/>
          <w:szCs w:val="20"/>
          <w:u w:val="single"/>
          <w:lang w:val="es-ES_tradnl"/>
          <w14:ligatures w14:val="none"/>
        </w:rPr>
        <w:t>pesar de encontrarse consultados desde el 23 de junio de 2022</w:t>
      </w:r>
      <w:r w:rsidRPr="00BD2DDD">
        <w:rPr>
          <w:rFonts w:ascii="Book Antiqua" w:eastAsia="Times New Roman" w:hAnsi="Book Antiqua" w:cs="Times New Roman"/>
          <w:color w:val="000000"/>
          <w:kern w:val="0"/>
          <w:szCs w:val="20"/>
          <w:lang w:val="es-ES_tradnl"/>
          <w14:ligatures w14:val="none"/>
        </w:rPr>
        <w:t>, el Departamento de Salud; Departamento de Seguridad Pública (DSP); la Asociación de Psicología de Puerto Rico (ASPPR); Asociación de Abogados de Puerto Rico; el Colegio de Profesionales de Trabajo Social (CPTSPR); la Liga de Cooperativas de Puerto Rico;</w:t>
      </w:r>
      <w:r w:rsidRPr="00DE2028">
        <w:rPr>
          <w:rFonts w:ascii="Book Antiqua" w:eastAsia="Times New Roman" w:hAnsi="Book Antiqua" w:cs="Times New Roman"/>
          <w:color w:val="000000"/>
          <w:kern w:val="0"/>
          <w:szCs w:val="20"/>
          <w:lang w:val="es-PR"/>
          <w14:ligatures w14:val="none"/>
        </w:rPr>
        <w:t xml:space="preserve"> </w:t>
      </w:r>
      <w:r w:rsidRPr="00BD2DDD">
        <w:rPr>
          <w:rFonts w:ascii="Book Antiqua" w:eastAsia="Times New Roman" w:hAnsi="Book Antiqua" w:cs="Times New Roman"/>
          <w:color w:val="000000"/>
          <w:kern w:val="0"/>
          <w:szCs w:val="20"/>
          <w:lang w:val="es-ES_tradnl"/>
          <w14:ligatures w14:val="none"/>
        </w:rPr>
        <w:t xml:space="preserve">la Asociación de Hospitales de Puerto Rico; el Colegio de Médicos Cirujanos de Puerto Rico; y los Miembros de la Industria de Cannabis Medicinal (MICaM), no </w:t>
      </w:r>
      <w:r w:rsidR="00F15967">
        <w:rPr>
          <w:rFonts w:ascii="Book Antiqua" w:eastAsia="Times New Roman" w:hAnsi="Book Antiqua" w:cs="Times New Roman"/>
          <w:color w:val="000000"/>
          <w:kern w:val="0"/>
          <w:szCs w:val="20"/>
          <w:lang w:val="es-ES_tradnl"/>
          <w14:ligatures w14:val="none"/>
        </w:rPr>
        <w:t xml:space="preserve">habían </w:t>
      </w:r>
      <w:r w:rsidRPr="00BD2DDD">
        <w:rPr>
          <w:rFonts w:ascii="Book Antiqua" w:eastAsia="Times New Roman" w:hAnsi="Book Antiqua" w:cs="Times New Roman"/>
          <w:color w:val="000000"/>
          <w:kern w:val="0"/>
          <w:szCs w:val="20"/>
          <w:lang w:val="es-ES_tradnl"/>
          <w14:ligatures w14:val="none"/>
        </w:rPr>
        <w:t xml:space="preserve">comparecido ante esta Honorable Comisión. </w:t>
      </w:r>
    </w:p>
    <w:p w14:paraId="3B3C2C9E" w14:textId="34E944A3" w:rsidR="00937BCA" w:rsidRPr="00BD2DDD" w:rsidRDefault="00F16C0E" w:rsidP="007B060F">
      <w:pPr>
        <w:spacing w:after="240" w:line="21" w:lineRule="atLeast"/>
        <w:ind w:firstLine="432"/>
        <w:jc w:val="both"/>
        <w:rPr>
          <w:rFonts w:ascii="Book Antiqua" w:eastAsia="Times New Roman" w:hAnsi="Book Antiqua" w:cs="Times New Roman"/>
          <w:color w:val="000000"/>
          <w:kern w:val="0"/>
          <w:szCs w:val="20"/>
          <w:lang w:val="es-ES_tradnl"/>
          <w14:ligatures w14:val="none"/>
        </w:rPr>
      </w:pPr>
      <w:r>
        <w:rPr>
          <w:rFonts w:ascii="Book Antiqua" w:eastAsia="Times New Roman" w:hAnsi="Book Antiqua" w:cs="Times New Roman"/>
          <w:color w:val="000000"/>
          <w:kern w:val="0"/>
          <w:szCs w:val="20"/>
          <w:lang w:val="es-ES_tradnl"/>
          <w14:ligatures w14:val="none"/>
        </w:rPr>
        <w:t>De igual forma</w:t>
      </w:r>
      <w:r w:rsidR="00F15967">
        <w:rPr>
          <w:rFonts w:ascii="Book Antiqua" w:eastAsia="Times New Roman" w:hAnsi="Book Antiqua" w:cs="Times New Roman"/>
          <w:color w:val="000000"/>
          <w:kern w:val="0"/>
          <w:szCs w:val="20"/>
          <w:lang w:val="es-ES_tradnl"/>
          <w14:ligatures w14:val="none"/>
        </w:rPr>
        <w:t xml:space="preserve">, </w:t>
      </w:r>
      <w:r w:rsidR="00937BCA" w:rsidRPr="00BD2DDD">
        <w:rPr>
          <w:rFonts w:ascii="Book Antiqua" w:eastAsia="Times New Roman" w:hAnsi="Book Antiqua" w:cs="Times New Roman"/>
          <w:b/>
          <w:bCs/>
          <w:color w:val="000000"/>
          <w:kern w:val="0"/>
          <w:szCs w:val="20"/>
          <w:u w:val="single"/>
          <w:lang w:val="es-ES_tradnl"/>
          <w14:ligatures w14:val="none"/>
        </w:rPr>
        <w:t>desde el 15 y 16 de marzo de 2023</w:t>
      </w:r>
      <w:r w:rsidR="00937BCA" w:rsidRPr="00BD2DDD">
        <w:rPr>
          <w:rFonts w:ascii="Book Antiqua" w:eastAsia="Times New Roman" w:hAnsi="Book Antiqua" w:cs="Times New Roman"/>
          <w:color w:val="000000"/>
          <w:kern w:val="0"/>
          <w:szCs w:val="20"/>
          <w:lang w:val="es-ES_tradnl"/>
          <w14:ligatures w14:val="none"/>
        </w:rPr>
        <w:t xml:space="preserve">, </w:t>
      </w:r>
      <w:r w:rsidR="00F15967">
        <w:rPr>
          <w:rFonts w:ascii="Book Antiqua" w:eastAsia="Times New Roman" w:hAnsi="Book Antiqua" w:cs="Times New Roman"/>
          <w:color w:val="000000"/>
          <w:kern w:val="0"/>
          <w:szCs w:val="20"/>
          <w:lang w:val="es-ES_tradnl"/>
          <w14:ligatures w14:val="none"/>
        </w:rPr>
        <w:t xml:space="preserve">se </w:t>
      </w:r>
      <w:r>
        <w:rPr>
          <w:rFonts w:ascii="Book Antiqua" w:eastAsia="Times New Roman" w:hAnsi="Book Antiqua" w:cs="Times New Roman"/>
          <w:color w:val="000000"/>
          <w:kern w:val="0"/>
          <w:szCs w:val="20"/>
          <w:lang w:val="es-ES_tradnl"/>
          <w14:ligatures w14:val="none"/>
        </w:rPr>
        <w:t>consultó a</w:t>
      </w:r>
      <w:r w:rsidR="00937BCA" w:rsidRPr="00BD2DDD">
        <w:rPr>
          <w:rFonts w:ascii="Book Antiqua" w:eastAsia="Times New Roman" w:hAnsi="Book Antiqua" w:cs="Times New Roman"/>
          <w:color w:val="000000"/>
          <w:kern w:val="0"/>
          <w:szCs w:val="20"/>
          <w:lang w:val="es-ES_tradnl"/>
          <w14:ligatures w14:val="none"/>
        </w:rPr>
        <w:t xml:space="preserve"> la Universidad Interamericana de Puerto Rico (UIPR); </w:t>
      </w:r>
      <w:r>
        <w:rPr>
          <w:rFonts w:ascii="Book Antiqua" w:eastAsia="Times New Roman" w:hAnsi="Book Antiqua" w:cs="Times New Roman"/>
          <w:color w:val="000000"/>
          <w:kern w:val="0"/>
          <w:szCs w:val="20"/>
          <w:lang w:val="es-ES_tradnl"/>
          <w14:ligatures w14:val="none"/>
        </w:rPr>
        <w:t>al</w:t>
      </w:r>
      <w:r w:rsidR="00937BCA" w:rsidRPr="00BD2DDD">
        <w:rPr>
          <w:rFonts w:ascii="Book Antiqua" w:eastAsia="Times New Roman" w:hAnsi="Book Antiqua" w:cs="Times New Roman"/>
          <w:color w:val="000000"/>
          <w:kern w:val="0"/>
          <w:szCs w:val="20"/>
          <w:lang w:val="es-ES_tradnl"/>
          <w14:ligatures w14:val="none"/>
        </w:rPr>
        <w:t xml:space="preserve"> Departamento de Recreación y Deportes (DCR); y el Programa de Desarrollo de la Juventud del DDEC, </w:t>
      </w:r>
      <w:r>
        <w:rPr>
          <w:rFonts w:ascii="Book Antiqua" w:eastAsia="Times New Roman" w:hAnsi="Book Antiqua" w:cs="Times New Roman"/>
          <w:color w:val="000000"/>
          <w:kern w:val="0"/>
          <w:szCs w:val="20"/>
          <w:lang w:val="es-ES_tradnl"/>
          <w14:ligatures w14:val="none"/>
        </w:rPr>
        <w:t xml:space="preserve">pero estos tampoco remitieron sus comentarios. </w:t>
      </w:r>
    </w:p>
    <w:p w14:paraId="6FC2D61A" w14:textId="63D3AAEF" w:rsidR="00937BCA" w:rsidRPr="00BD2DDD" w:rsidRDefault="00937BCA" w:rsidP="007B060F">
      <w:pPr>
        <w:pStyle w:val="Title"/>
        <w:spacing w:line="21" w:lineRule="atLeast"/>
        <w:rPr>
          <w:rFonts w:eastAsia="Times New Roman"/>
          <w:lang w:val="es-ES_tradnl"/>
        </w:rPr>
      </w:pPr>
      <w:r w:rsidRPr="00BD2DDD">
        <w:rPr>
          <w:rFonts w:eastAsia="Times New Roman"/>
          <w:lang w:val="es-ES_tradnl"/>
        </w:rPr>
        <w:t>ANÁLISIS</w:t>
      </w:r>
    </w:p>
    <w:p w14:paraId="2B5C08BF" w14:textId="12CD7757" w:rsidR="00937BCA" w:rsidRPr="00BD2DDD" w:rsidRDefault="00937BCA" w:rsidP="007B060F">
      <w:pPr>
        <w:spacing w:after="240" w:line="21" w:lineRule="atLeast"/>
        <w:ind w:firstLine="432"/>
        <w:jc w:val="both"/>
        <w:rPr>
          <w:rFonts w:ascii="Book Antiqua" w:eastAsia="Times New Roman" w:hAnsi="Book Antiqua" w:cs="Times New Roman"/>
          <w:color w:val="000000"/>
          <w:kern w:val="0"/>
          <w:szCs w:val="20"/>
          <w:lang w:val="es-ES_tradnl"/>
          <w14:ligatures w14:val="none"/>
        </w:rPr>
      </w:pPr>
      <w:r w:rsidRPr="00BD2DDD">
        <w:rPr>
          <w:rFonts w:ascii="Book Antiqua" w:eastAsia="Times New Roman" w:hAnsi="Book Antiqua" w:cs="Times New Roman"/>
          <w:color w:val="000000"/>
          <w:kern w:val="0"/>
          <w:szCs w:val="20"/>
          <w:lang w:val="es-ES_tradnl"/>
          <w14:ligatures w14:val="none"/>
        </w:rPr>
        <w:t xml:space="preserve">El ordenamiento jurídico </w:t>
      </w:r>
      <w:r w:rsidR="00F16C0E">
        <w:rPr>
          <w:rFonts w:ascii="Book Antiqua" w:eastAsia="Times New Roman" w:hAnsi="Book Antiqua" w:cs="Times New Roman"/>
          <w:color w:val="000000"/>
          <w:kern w:val="0"/>
          <w:szCs w:val="20"/>
          <w:lang w:val="es-ES_tradnl"/>
          <w14:ligatures w14:val="none"/>
        </w:rPr>
        <w:t>local</w:t>
      </w:r>
      <w:r w:rsidRPr="00BD2DDD">
        <w:rPr>
          <w:rFonts w:ascii="Book Antiqua" w:eastAsia="Times New Roman" w:hAnsi="Book Antiqua" w:cs="Times New Roman"/>
          <w:color w:val="000000"/>
          <w:kern w:val="0"/>
          <w:szCs w:val="20"/>
          <w:lang w:val="es-ES_tradnl"/>
          <w14:ligatures w14:val="none"/>
        </w:rPr>
        <w:t xml:space="preserve"> se divide, sustancialmente, entre dos (2) corrientes del derecho: (1) el derecho civilista —proveniente de España—, y (2) el derecho común anglosajón o </w:t>
      </w:r>
      <w:r w:rsidRPr="00DE2028">
        <w:rPr>
          <w:rFonts w:ascii="Book Antiqua" w:eastAsia="Times New Roman" w:hAnsi="Book Antiqua" w:cs="Times New Roman"/>
          <w:i/>
          <w:iCs/>
          <w:color w:val="000000"/>
          <w:kern w:val="0"/>
          <w:szCs w:val="20"/>
          <w:lang w:val="es-PR"/>
          <w14:ligatures w14:val="none"/>
        </w:rPr>
        <w:t>common law</w:t>
      </w:r>
      <w:r w:rsidRPr="00DE2028">
        <w:rPr>
          <w:rFonts w:ascii="Book Antiqua" w:eastAsia="Times New Roman" w:hAnsi="Book Antiqua" w:cs="Times New Roman"/>
          <w:color w:val="000000"/>
          <w:kern w:val="0"/>
          <w:szCs w:val="20"/>
          <w:lang w:val="es-PR"/>
          <w14:ligatures w14:val="none"/>
        </w:rPr>
        <w:t xml:space="preserve">, </w:t>
      </w:r>
      <w:r w:rsidRPr="00BD2DDD">
        <w:rPr>
          <w:rFonts w:ascii="Book Antiqua" w:eastAsia="Times New Roman" w:hAnsi="Book Antiqua" w:cs="Times New Roman"/>
          <w:color w:val="000000"/>
          <w:kern w:val="0"/>
          <w:szCs w:val="20"/>
          <w:lang w:val="es-ES_tradnl"/>
          <w14:ligatures w14:val="none"/>
        </w:rPr>
        <w:t xml:space="preserve">el cual llega a nuestro </w:t>
      </w:r>
      <w:r w:rsidR="00CE3371" w:rsidRPr="00BD2DDD">
        <w:rPr>
          <w:rFonts w:ascii="Book Antiqua" w:eastAsia="Times New Roman" w:hAnsi="Book Antiqua" w:cs="Times New Roman"/>
          <w:color w:val="000000"/>
          <w:kern w:val="0"/>
          <w:szCs w:val="20"/>
          <w:lang w:val="es-ES_tradnl"/>
          <w14:ligatures w14:val="none"/>
        </w:rPr>
        <w:t>archipiélago</w:t>
      </w:r>
      <w:r w:rsidRPr="00BD2DDD">
        <w:rPr>
          <w:rFonts w:ascii="Book Antiqua" w:eastAsia="Times New Roman" w:hAnsi="Book Antiqua" w:cs="Times New Roman"/>
          <w:color w:val="000000"/>
          <w:kern w:val="0"/>
          <w:szCs w:val="20"/>
          <w:lang w:val="es-ES_tradnl"/>
          <w14:ligatures w14:val="none"/>
        </w:rPr>
        <w:t xml:space="preserve"> por medio de la relación política con los Estados Unidos de América. Bajo este contexto, ambas corrientes jurídicas han estado en estrecho conflicto por más de un siglo, conformando así el ordenamiento mixto que impera actualmente en </w:t>
      </w:r>
      <w:r w:rsidR="0009788C">
        <w:rPr>
          <w:rFonts w:ascii="Book Antiqua" w:eastAsia="Times New Roman" w:hAnsi="Book Antiqua" w:cs="Times New Roman"/>
          <w:color w:val="000000"/>
          <w:kern w:val="0"/>
          <w:szCs w:val="20"/>
          <w:lang w:val="es-ES_tradnl"/>
          <w14:ligatures w14:val="none"/>
        </w:rPr>
        <w:t>nuestro país</w:t>
      </w:r>
      <w:r w:rsidRPr="00BD2DDD">
        <w:rPr>
          <w:rFonts w:ascii="Book Antiqua" w:eastAsia="Times New Roman" w:hAnsi="Book Antiqua" w:cs="Times New Roman"/>
          <w:color w:val="000000"/>
          <w:kern w:val="0"/>
          <w:szCs w:val="20"/>
          <w:lang w:val="es-ES_tradnl"/>
          <w14:ligatures w14:val="none"/>
        </w:rPr>
        <w:t>.</w:t>
      </w:r>
      <w:r w:rsidRPr="00BD2DDD">
        <w:rPr>
          <w:rFonts w:ascii="Book Antiqua" w:eastAsia="Times New Roman" w:hAnsi="Book Antiqua" w:cs="Times New Roman"/>
          <w:color w:val="000000"/>
          <w:kern w:val="0"/>
          <w:szCs w:val="20"/>
          <w:vertAlign w:val="superscript"/>
          <w:lang w:val="es-ES_tradnl"/>
          <w14:ligatures w14:val="none"/>
        </w:rPr>
        <w:footnoteReference w:id="1"/>
      </w:r>
      <w:r w:rsidRPr="00BD2DDD">
        <w:rPr>
          <w:rFonts w:ascii="Book Antiqua" w:eastAsia="Times New Roman" w:hAnsi="Book Antiqua" w:cs="Times New Roman"/>
          <w:color w:val="000000"/>
          <w:kern w:val="0"/>
          <w:szCs w:val="20"/>
          <w:lang w:val="es-ES_tradnl"/>
          <w14:ligatures w14:val="none"/>
        </w:rPr>
        <w:t xml:space="preserve"> No obstante, los asuntos de carácter civilista se recogen y codifican, </w:t>
      </w:r>
      <w:r w:rsidR="00D822BA" w:rsidRPr="00D822BA">
        <w:rPr>
          <w:rFonts w:ascii="Book Antiqua" w:eastAsia="Times New Roman" w:hAnsi="Book Antiqua" w:cs="Times New Roman"/>
          <w:color w:val="000000"/>
          <w:kern w:val="0"/>
          <w:szCs w:val="20"/>
          <w:lang w:val="es-ES_tradnl"/>
          <w14:ligatures w14:val="none"/>
        </w:rPr>
        <w:t>en mayor grado</w:t>
      </w:r>
      <w:r w:rsidRPr="00BD2DDD">
        <w:rPr>
          <w:rFonts w:ascii="Book Antiqua" w:eastAsia="Times New Roman" w:hAnsi="Book Antiqua" w:cs="Times New Roman"/>
          <w:color w:val="000000"/>
          <w:kern w:val="0"/>
          <w:szCs w:val="20"/>
          <w:lang w:val="es-ES_tradnl"/>
          <w14:ligatures w14:val="none"/>
        </w:rPr>
        <w:t xml:space="preserve"> a través de las disposiciones del Código Civil de Puerto Rico. Dicho estatuto debe ser lo suficientemente amplio y general para ordenar todos los aspectos civiles que rigen —y han de regir— en nuestra sociedad. De este modo, uno de los asuntos compilados bajo el Código Civil </w:t>
      </w:r>
      <w:r w:rsidR="00822755">
        <w:rPr>
          <w:rFonts w:ascii="Book Antiqua" w:eastAsia="Times New Roman" w:hAnsi="Book Antiqua" w:cs="Times New Roman"/>
          <w:color w:val="000000"/>
          <w:kern w:val="0"/>
          <w:szCs w:val="20"/>
          <w:lang w:val="es-ES_tradnl"/>
          <w14:ligatures w14:val="none"/>
        </w:rPr>
        <w:t>local</w:t>
      </w:r>
      <w:r w:rsidRPr="00BD2DDD">
        <w:rPr>
          <w:rFonts w:ascii="Book Antiqua" w:eastAsia="Times New Roman" w:hAnsi="Book Antiqua" w:cs="Times New Roman"/>
          <w:color w:val="000000"/>
          <w:kern w:val="0"/>
          <w:szCs w:val="20"/>
          <w:lang w:val="es-ES_tradnl"/>
          <w14:ligatures w14:val="none"/>
        </w:rPr>
        <w:t xml:space="preserve"> ha sido el resguardo de a qué edad una persona natural adviene a la mayoría de edad.</w:t>
      </w:r>
    </w:p>
    <w:p w14:paraId="436594D5" w14:textId="475E4796" w:rsidR="00937BCA" w:rsidRPr="00BD2DDD" w:rsidRDefault="00937BCA" w:rsidP="007B060F">
      <w:pPr>
        <w:spacing w:after="240" w:line="21" w:lineRule="atLeast"/>
        <w:ind w:firstLine="432"/>
        <w:jc w:val="both"/>
        <w:rPr>
          <w:rFonts w:ascii="Book Antiqua" w:hAnsi="Book Antiqua" w:cs="Times New Roman"/>
          <w:lang w:val="es-ES_tradnl"/>
        </w:rPr>
      </w:pPr>
      <w:r w:rsidRPr="00BD2DDD">
        <w:rPr>
          <w:rFonts w:ascii="Book Antiqua" w:hAnsi="Book Antiqua" w:cs="Times New Roman"/>
          <w:lang w:val="es-ES_tradnl"/>
        </w:rPr>
        <w:t xml:space="preserve">Puerto Rico es una de las pocas jurisdicciones en el mundo que </w:t>
      </w:r>
      <w:r w:rsidR="00822755">
        <w:rPr>
          <w:rFonts w:ascii="Book Antiqua" w:hAnsi="Book Antiqua" w:cs="Times New Roman"/>
          <w:lang w:val="es-ES_tradnl"/>
        </w:rPr>
        <w:t>mantiene la mayoridad</w:t>
      </w:r>
      <w:r w:rsidRPr="00BD2DDD">
        <w:rPr>
          <w:rFonts w:ascii="Book Antiqua" w:hAnsi="Book Antiqua" w:cs="Times New Roman"/>
          <w:lang w:val="es-ES_tradnl"/>
        </w:rPr>
        <w:t xml:space="preserve"> a los veintiún (21) años. Específicamente, el Artículo 97 del Código Civil de Puerto Rico de 2020 </w:t>
      </w:r>
      <w:r w:rsidR="00822755">
        <w:rPr>
          <w:rFonts w:ascii="Book Antiqua" w:hAnsi="Book Antiqua" w:cs="Times New Roman"/>
          <w:lang w:val="es-ES_tradnl"/>
        </w:rPr>
        <w:t>dispone</w:t>
      </w:r>
      <w:r w:rsidRPr="00BD2DDD">
        <w:rPr>
          <w:rFonts w:ascii="Book Antiqua" w:hAnsi="Book Antiqua" w:cs="Times New Roman"/>
          <w:lang w:val="es-ES_tradnl"/>
        </w:rPr>
        <w:t xml:space="preserve"> que </w:t>
      </w:r>
      <w:r w:rsidRPr="00BD2DDD">
        <w:rPr>
          <w:rFonts w:ascii="Book Antiqua" w:hAnsi="Book Antiqua" w:cs="Times New Roman"/>
          <w:b/>
          <w:bCs/>
          <w:lang w:val="es-ES_tradnl"/>
        </w:rPr>
        <w:t>toda persona adviene a la mayoridad a los veintiún (21) años de edad</w:t>
      </w:r>
      <w:r w:rsidRPr="00BD2DDD">
        <w:rPr>
          <w:rFonts w:ascii="Book Antiqua" w:hAnsi="Book Antiqua" w:cs="Times New Roman"/>
          <w:lang w:val="es-ES_tradnl"/>
        </w:rPr>
        <w:t>.</w:t>
      </w:r>
      <w:r w:rsidRPr="00BD2DDD">
        <w:rPr>
          <w:rFonts w:ascii="Book Antiqua" w:hAnsi="Book Antiqua" w:cs="Times New Roman"/>
          <w:vertAlign w:val="superscript"/>
          <w:lang w:val="es-ES_tradnl"/>
        </w:rPr>
        <w:footnoteReference w:id="2"/>
      </w:r>
      <w:r w:rsidRPr="00BD2DDD">
        <w:rPr>
          <w:rFonts w:ascii="Book Antiqua" w:hAnsi="Book Antiqua" w:cs="Times New Roman"/>
          <w:lang w:val="es-ES_tradnl"/>
        </w:rPr>
        <w:t xml:space="preserve"> Se presume, por tanto, la capacidad de la persona natural mayor de edad de obrar por sí misma, a menos que exista una sentencia de incapacitación absoluta o parcial.</w:t>
      </w:r>
      <w:r w:rsidRPr="00BD2DDD">
        <w:rPr>
          <w:rFonts w:ascii="Book Antiqua" w:hAnsi="Book Antiqua" w:cs="Times New Roman"/>
          <w:vertAlign w:val="superscript"/>
          <w:lang w:val="es-ES_tradnl"/>
        </w:rPr>
        <w:footnoteReference w:id="3"/>
      </w:r>
      <w:r w:rsidRPr="00BD2DDD">
        <w:rPr>
          <w:rFonts w:ascii="Book Antiqua" w:hAnsi="Book Antiqua" w:cs="Times New Roman"/>
          <w:lang w:val="es-ES_tradnl"/>
        </w:rPr>
        <w:t xml:space="preserve"> Esto ha sido así por más de noventa (90) años. Precisamente, bajo el Artículo </w:t>
      </w:r>
      <w:r w:rsidRPr="00BD2DDD">
        <w:rPr>
          <w:rFonts w:ascii="Book Antiqua" w:hAnsi="Book Antiqua" w:cs="Times New Roman"/>
          <w:lang w:val="es-ES_tradnl"/>
        </w:rPr>
        <w:lastRenderedPageBreak/>
        <w:t xml:space="preserve">247 del Código Civil de 1930 (derogado en el 2020), una persona se consideraba </w:t>
      </w:r>
      <w:r w:rsidRPr="00BD2DDD">
        <w:rPr>
          <w:rFonts w:ascii="Book Antiqua" w:hAnsi="Book Antiqua" w:cs="Times New Roman"/>
          <w:i/>
          <w:iCs/>
          <w:lang w:val="es-ES_tradnl"/>
        </w:rPr>
        <w:t>mayor de edad</w:t>
      </w:r>
      <w:r w:rsidRPr="00BD2DDD">
        <w:rPr>
          <w:rFonts w:ascii="Book Antiqua" w:hAnsi="Book Antiqua" w:cs="Times New Roman"/>
          <w:lang w:val="es-ES_tradnl"/>
        </w:rPr>
        <w:t xml:space="preserve"> al haber cumplido los veintiún (21) </w:t>
      </w:r>
      <w:r w:rsidR="00937C51" w:rsidRPr="00BD2DDD">
        <w:rPr>
          <w:rFonts w:ascii="Book Antiqua" w:hAnsi="Book Antiqua" w:cs="Times New Roman"/>
          <w:lang w:val="es-ES_tradnl"/>
        </w:rPr>
        <w:t>años</w:t>
      </w:r>
      <w:r w:rsidRPr="00BD2DDD">
        <w:rPr>
          <w:rFonts w:ascii="Book Antiqua" w:hAnsi="Book Antiqua" w:cs="Times New Roman"/>
          <w:lang w:val="es-ES_tradnl"/>
        </w:rPr>
        <w:t xml:space="preserve">. El anterior precepto establecido en el Código vigente presupone que todo ciudadano que no ha alcanzado la edad codificada debe ser considerado como un </w:t>
      </w:r>
      <w:r w:rsidRPr="00BD2DDD">
        <w:rPr>
          <w:rFonts w:ascii="Book Antiqua" w:hAnsi="Book Antiqua" w:cs="Times New Roman"/>
          <w:i/>
          <w:iCs/>
          <w:lang w:val="es-ES_tradnl"/>
        </w:rPr>
        <w:t>menor de edad</w:t>
      </w:r>
      <w:r w:rsidRPr="00BD2DDD">
        <w:rPr>
          <w:rFonts w:ascii="Book Antiqua" w:hAnsi="Book Antiqua" w:cs="Times New Roman"/>
          <w:lang w:val="es-ES_tradnl"/>
        </w:rPr>
        <w:t xml:space="preserve"> o, en su defecto, una persona </w:t>
      </w:r>
      <w:r w:rsidRPr="00BD2DDD">
        <w:rPr>
          <w:rFonts w:ascii="Book Antiqua" w:hAnsi="Book Antiqua" w:cs="Times New Roman"/>
          <w:i/>
          <w:iCs/>
          <w:lang w:val="es-ES_tradnl"/>
        </w:rPr>
        <w:t>incapaz</w:t>
      </w:r>
      <w:r w:rsidRPr="00BD2DDD">
        <w:rPr>
          <w:rFonts w:ascii="Book Antiqua" w:hAnsi="Book Antiqua" w:cs="Times New Roman"/>
          <w:lang w:val="es-ES_tradnl"/>
        </w:rPr>
        <w:t xml:space="preserve"> por concepto de la </w:t>
      </w:r>
      <w:r w:rsidRPr="00BD2DDD">
        <w:rPr>
          <w:rFonts w:ascii="Book Antiqua" w:hAnsi="Book Antiqua" w:cs="Times New Roman"/>
          <w:i/>
          <w:iCs/>
          <w:lang w:val="es-ES_tradnl"/>
        </w:rPr>
        <w:t>minoridad</w:t>
      </w:r>
      <w:r w:rsidRPr="00BD2DDD">
        <w:rPr>
          <w:rFonts w:ascii="Book Antiqua" w:hAnsi="Book Antiqua" w:cs="Times New Roman"/>
          <w:lang w:val="es-ES_tradnl"/>
        </w:rPr>
        <w:t xml:space="preserve">. </w:t>
      </w:r>
    </w:p>
    <w:p w14:paraId="48537F94" w14:textId="33BE39D1" w:rsidR="005B0FCC" w:rsidRPr="00BD2DDD" w:rsidRDefault="00937BCA" w:rsidP="007B060F">
      <w:pPr>
        <w:spacing w:after="240" w:line="21" w:lineRule="atLeast"/>
        <w:ind w:firstLine="432"/>
        <w:jc w:val="both"/>
        <w:rPr>
          <w:rFonts w:ascii="Book Antiqua" w:hAnsi="Book Antiqua" w:cs="Times New Roman"/>
          <w:lang w:val="es-ES_tradnl"/>
        </w:rPr>
      </w:pPr>
      <w:r w:rsidRPr="00BD2DDD">
        <w:rPr>
          <w:rFonts w:ascii="Book Antiqua" w:hAnsi="Book Antiqua" w:cs="Times New Roman"/>
          <w:lang w:val="es-ES_tradnl"/>
        </w:rPr>
        <w:t xml:space="preserve">Bajo el Código Civil, </w:t>
      </w:r>
      <w:r w:rsidRPr="00BD2DDD">
        <w:rPr>
          <w:rFonts w:ascii="Book Antiqua" w:hAnsi="Book Antiqua" w:cs="Times New Roman"/>
          <w:i/>
          <w:iCs/>
          <w:lang w:val="es-ES_tradnl"/>
        </w:rPr>
        <w:t>supra</w:t>
      </w:r>
      <w:r w:rsidRPr="00BD2DDD">
        <w:rPr>
          <w:rFonts w:ascii="Book Antiqua" w:hAnsi="Book Antiqua" w:cs="Times New Roman"/>
          <w:lang w:val="es-ES_tradnl"/>
        </w:rPr>
        <w:t>, se han reconocido varias</w:t>
      </w:r>
      <w:r w:rsidR="00740CF5" w:rsidRPr="00BD2DDD">
        <w:rPr>
          <w:rFonts w:ascii="Book Antiqua" w:hAnsi="Book Antiqua" w:cs="Times New Roman"/>
          <w:lang w:val="es-ES_tradnl"/>
        </w:rPr>
        <w:t xml:space="preserve"> excepciones y</w:t>
      </w:r>
      <w:r w:rsidRPr="00BD2DDD">
        <w:rPr>
          <w:rFonts w:ascii="Book Antiqua" w:hAnsi="Book Antiqua" w:cs="Times New Roman"/>
          <w:lang w:val="es-ES_tradnl"/>
        </w:rPr>
        <w:t xml:space="preserve"> figuras </w:t>
      </w:r>
      <w:r w:rsidR="00740CF5" w:rsidRPr="00BD2DDD">
        <w:rPr>
          <w:rFonts w:ascii="Book Antiqua" w:hAnsi="Book Antiqua" w:cs="Times New Roman"/>
          <w:lang w:val="es-ES_tradnl"/>
        </w:rPr>
        <w:t>jurídicas que se ent</w:t>
      </w:r>
      <w:r w:rsidRPr="00BD2DDD">
        <w:rPr>
          <w:rFonts w:ascii="Book Antiqua" w:hAnsi="Book Antiqua" w:cs="Times New Roman"/>
          <w:lang w:val="es-ES_tradnl"/>
        </w:rPr>
        <w:t xml:space="preserve">relazan </w:t>
      </w:r>
      <w:r w:rsidR="00740CF5" w:rsidRPr="00BD2DDD">
        <w:rPr>
          <w:rFonts w:ascii="Book Antiqua" w:hAnsi="Book Antiqua" w:cs="Times New Roman"/>
          <w:lang w:val="es-ES_tradnl"/>
        </w:rPr>
        <w:t xml:space="preserve">directamente </w:t>
      </w:r>
      <w:r w:rsidRPr="00BD2DDD">
        <w:rPr>
          <w:rFonts w:ascii="Book Antiqua" w:hAnsi="Book Antiqua" w:cs="Times New Roman"/>
          <w:lang w:val="es-ES_tradnl"/>
        </w:rPr>
        <w:t xml:space="preserve">con la mayoría de edad </w:t>
      </w:r>
      <w:r w:rsidR="00740CF5" w:rsidRPr="00BD2DDD">
        <w:rPr>
          <w:rFonts w:ascii="Book Antiqua" w:hAnsi="Book Antiqua" w:cs="Times New Roman"/>
          <w:lang w:val="es-ES_tradnl"/>
        </w:rPr>
        <w:t>codificad</w:t>
      </w:r>
      <w:r w:rsidRPr="00BD2DDD">
        <w:rPr>
          <w:rFonts w:ascii="Book Antiqua" w:hAnsi="Book Antiqua" w:cs="Times New Roman"/>
          <w:lang w:val="es-ES_tradnl"/>
        </w:rPr>
        <w:t xml:space="preserve">a </w:t>
      </w:r>
      <w:r w:rsidR="00740CF5" w:rsidRPr="00BD2DDD">
        <w:rPr>
          <w:rFonts w:ascii="Book Antiqua" w:hAnsi="Book Antiqua" w:cs="Times New Roman"/>
          <w:lang w:val="es-ES_tradnl"/>
        </w:rPr>
        <w:t>en</w:t>
      </w:r>
      <w:r w:rsidRPr="00BD2DDD">
        <w:rPr>
          <w:rFonts w:ascii="Book Antiqua" w:hAnsi="Book Antiqua" w:cs="Times New Roman"/>
          <w:lang w:val="es-ES_tradnl"/>
        </w:rPr>
        <w:t xml:space="preserve"> el Artículo 97.</w:t>
      </w:r>
      <w:r w:rsidR="00740CF5" w:rsidRPr="00BD2DDD">
        <w:rPr>
          <w:rFonts w:ascii="Book Antiqua" w:hAnsi="Book Antiqua" w:cs="Times New Roman"/>
          <w:lang w:val="es-ES_tradnl"/>
        </w:rPr>
        <w:t xml:space="preserve"> Una de estas figuras es el </w:t>
      </w:r>
      <w:r w:rsidR="00740CF5" w:rsidRPr="00BD2DDD">
        <w:rPr>
          <w:rFonts w:ascii="Book Antiqua" w:hAnsi="Book Antiqua" w:cs="Times New Roman"/>
          <w:i/>
          <w:iCs/>
          <w:lang w:val="es-ES_tradnl"/>
        </w:rPr>
        <w:t>matrimonio</w:t>
      </w:r>
      <w:r w:rsidR="00740CF5" w:rsidRPr="00BD2DDD">
        <w:rPr>
          <w:rFonts w:ascii="Book Antiqua" w:hAnsi="Book Antiqua" w:cs="Times New Roman"/>
          <w:lang w:val="es-ES_tradnl"/>
        </w:rPr>
        <w:t>. Como principio general del derecho civil</w:t>
      </w:r>
      <w:r w:rsidR="006223FC" w:rsidRPr="00BD2DDD">
        <w:rPr>
          <w:rFonts w:ascii="Book Antiqua" w:hAnsi="Book Antiqua" w:cs="Times New Roman"/>
          <w:lang w:val="es-ES_tradnl"/>
        </w:rPr>
        <w:t>ista</w:t>
      </w:r>
      <w:r w:rsidR="00740CF5" w:rsidRPr="00BD2DDD">
        <w:rPr>
          <w:rFonts w:ascii="Book Antiqua" w:hAnsi="Book Antiqua" w:cs="Times New Roman"/>
          <w:lang w:val="es-ES_tradnl"/>
        </w:rPr>
        <w:t xml:space="preserve"> en Puerto Rico, el matrimonio se constituye, entre otros preceptos, cuando dos personas naturales se obligan mutuamente a ser cónyuges.</w:t>
      </w:r>
      <w:r w:rsidR="006223FC" w:rsidRPr="00BD2DDD">
        <w:rPr>
          <w:rStyle w:val="FootnoteReference"/>
          <w:rFonts w:ascii="Book Antiqua" w:hAnsi="Book Antiqua" w:cs="Times New Roman"/>
          <w:lang w:val="es-ES_tradnl"/>
        </w:rPr>
        <w:footnoteReference w:id="4"/>
      </w:r>
      <w:r w:rsidR="00740CF5" w:rsidRPr="00BD2DDD">
        <w:rPr>
          <w:rFonts w:ascii="Book Antiqua" w:hAnsi="Book Antiqua" w:cs="Times New Roman"/>
          <w:lang w:val="es-ES_tradnl"/>
        </w:rPr>
        <w:t xml:space="preserve"> El Código</w:t>
      </w:r>
      <w:r w:rsidR="006223FC" w:rsidRPr="00BD2DDD">
        <w:rPr>
          <w:rFonts w:ascii="Book Antiqua" w:hAnsi="Book Antiqua" w:cs="Times New Roman"/>
          <w:lang w:val="es-ES_tradnl"/>
        </w:rPr>
        <w:t>, además,</w:t>
      </w:r>
      <w:r w:rsidR="00740CF5" w:rsidRPr="00BD2DDD">
        <w:rPr>
          <w:rFonts w:ascii="Book Antiqua" w:hAnsi="Book Antiqua" w:cs="Times New Roman"/>
          <w:lang w:val="es-ES_tradnl"/>
        </w:rPr>
        <w:t xml:space="preserve"> </w:t>
      </w:r>
      <w:r w:rsidR="006223FC" w:rsidRPr="00BD2DDD">
        <w:rPr>
          <w:rFonts w:ascii="Book Antiqua" w:hAnsi="Book Antiqua" w:cs="Times New Roman"/>
          <w:lang w:val="es-ES_tradnl"/>
        </w:rPr>
        <w:t>puntualiza</w:t>
      </w:r>
      <w:r w:rsidR="00740CF5" w:rsidRPr="00BD2DDD">
        <w:rPr>
          <w:rFonts w:ascii="Book Antiqua" w:hAnsi="Book Antiqua" w:cs="Times New Roman"/>
          <w:lang w:val="es-ES_tradnl"/>
        </w:rPr>
        <w:t xml:space="preserve"> como uno de los requisitos principales para dicha constitución el que las personas a contraer matrimonio tengan capacidad legal</w:t>
      </w:r>
      <w:r w:rsidR="006223FC" w:rsidRPr="00BD2DDD">
        <w:rPr>
          <w:rFonts w:ascii="Book Antiqua" w:hAnsi="Book Antiqua" w:cs="Times New Roman"/>
          <w:lang w:val="es-ES_tradnl"/>
        </w:rPr>
        <w:t>.</w:t>
      </w:r>
      <w:r w:rsidR="006223FC" w:rsidRPr="00BD2DDD">
        <w:rPr>
          <w:rStyle w:val="FootnoteReference"/>
          <w:rFonts w:ascii="Book Antiqua" w:hAnsi="Book Antiqua" w:cs="Times New Roman"/>
          <w:lang w:val="es-ES_tradnl"/>
        </w:rPr>
        <w:footnoteReference w:id="5"/>
      </w:r>
      <w:r w:rsidR="006223FC" w:rsidRPr="00BD2DDD">
        <w:rPr>
          <w:rFonts w:ascii="Book Antiqua" w:hAnsi="Book Antiqua" w:cs="Times New Roman"/>
          <w:lang w:val="es-ES_tradnl"/>
        </w:rPr>
        <w:t xml:space="preserve"> Como bien se ha señalado, la capacidad queda establecida por la mayoridad de edad,</w:t>
      </w:r>
      <w:r w:rsidR="00925DFF" w:rsidRPr="00BD2DDD">
        <w:rPr>
          <w:rFonts w:ascii="Book Antiqua" w:hAnsi="Book Antiqua" w:cs="Times New Roman"/>
          <w:lang w:val="es-ES_tradnl"/>
        </w:rPr>
        <w:t xml:space="preserve"> es decir, al alcanzar los veintiún (21) años</w:t>
      </w:r>
      <w:r w:rsidR="00EF5C54" w:rsidRPr="00BD2DDD">
        <w:rPr>
          <w:rFonts w:ascii="Book Antiqua" w:hAnsi="Book Antiqua" w:cs="Times New Roman"/>
          <w:lang w:val="es-ES_tradnl"/>
        </w:rPr>
        <w:t xml:space="preserve">. No obstante, se reconoce que, mediante la </w:t>
      </w:r>
      <w:r w:rsidR="00484184" w:rsidRPr="00BD2DDD">
        <w:rPr>
          <w:rFonts w:ascii="Book Antiqua" w:hAnsi="Book Antiqua" w:cs="Times New Roman"/>
          <w:lang w:val="es-ES_tradnl"/>
        </w:rPr>
        <w:t>autorización</w:t>
      </w:r>
      <w:r w:rsidR="00EF5C54" w:rsidRPr="00BD2DDD">
        <w:rPr>
          <w:rFonts w:ascii="Book Antiqua" w:hAnsi="Book Antiqua" w:cs="Times New Roman"/>
          <w:lang w:val="es-ES_tradnl"/>
        </w:rPr>
        <w:t xml:space="preserve"> de </w:t>
      </w:r>
      <w:r w:rsidR="00484184" w:rsidRPr="00BD2DDD">
        <w:rPr>
          <w:rFonts w:ascii="Book Antiqua" w:hAnsi="Book Antiqua" w:cs="Times New Roman"/>
          <w:lang w:val="es-ES_tradnl"/>
        </w:rPr>
        <w:t>las personas que ejercen la patria potestad</w:t>
      </w:r>
      <w:r w:rsidR="00B72DB3" w:rsidRPr="00BD2DDD">
        <w:rPr>
          <w:rFonts w:ascii="Book Antiqua" w:hAnsi="Book Antiqua" w:cs="Times New Roman"/>
          <w:lang w:val="es-ES_tradnl"/>
        </w:rPr>
        <w:t xml:space="preserve"> o tutela</w:t>
      </w:r>
      <w:r w:rsidR="00484184" w:rsidRPr="00BD2DDD">
        <w:rPr>
          <w:rFonts w:ascii="Book Antiqua" w:hAnsi="Book Antiqua" w:cs="Times New Roman"/>
          <w:lang w:val="es-ES_tradnl"/>
        </w:rPr>
        <w:t xml:space="preserve">, un menor </w:t>
      </w:r>
      <w:r w:rsidR="00796520">
        <w:rPr>
          <w:rFonts w:ascii="Book Antiqua" w:hAnsi="Book Antiqua" w:cs="Times New Roman"/>
          <w:lang w:val="es-ES_tradnl"/>
        </w:rPr>
        <w:t>entre los</w:t>
      </w:r>
      <w:r w:rsidR="00484184" w:rsidRPr="00BD2DDD">
        <w:rPr>
          <w:rFonts w:ascii="Book Antiqua" w:hAnsi="Book Antiqua" w:cs="Times New Roman"/>
          <w:lang w:val="es-ES_tradnl"/>
        </w:rPr>
        <w:t xml:space="preserve"> dieciocho (18)</w:t>
      </w:r>
      <w:r w:rsidR="00796520">
        <w:rPr>
          <w:rFonts w:ascii="Book Antiqua" w:hAnsi="Book Antiqua" w:cs="Times New Roman"/>
          <w:lang w:val="es-ES_tradnl"/>
        </w:rPr>
        <w:t xml:space="preserve"> y veinte (20) </w:t>
      </w:r>
      <w:r w:rsidR="00484184" w:rsidRPr="00BD2DDD">
        <w:rPr>
          <w:rFonts w:ascii="Book Antiqua" w:hAnsi="Book Antiqua" w:cs="Times New Roman"/>
          <w:lang w:val="es-ES_tradnl"/>
        </w:rPr>
        <w:t xml:space="preserve">años pudiera contraer matrimonio, </w:t>
      </w:r>
      <w:r w:rsidR="00B72DB3" w:rsidRPr="00BD2DDD">
        <w:rPr>
          <w:rFonts w:ascii="Book Antiqua" w:hAnsi="Book Antiqua" w:cs="Times New Roman"/>
          <w:lang w:val="es-ES_tradnl"/>
        </w:rPr>
        <w:t xml:space="preserve">según </w:t>
      </w:r>
      <w:r w:rsidR="00053133" w:rsidRPr="00BD2DDD">
        <w:rPr>
          <w:rFonts w:ascii="Book Antiqua" w:hAnsi="Book Antiqua" w:cs="Times New Roman"/>
          <w:lang w:val="es-ES_tradnl"/>
        </w:rPr>
        <w:t>esboza el Artículo 381.</w:t>
      </w:r>
      <w:r w:rsidR="005B0FCC" w:rsidRPr="00BD2DDD">
        <w:rPr>
          <w:rFonts w:ascii="Book Antiqua" w:hAnsi="Book Antiqua" w:cs="Times New Roman"/>
          <w:lang w:val="es-ES_tradnl"/>
        </w:rPr>
        <w:t xml:space="preserve"> </w:t>
      </w:r>
      <w:r w:rsidR="00075217" w:rsidRPr="00BD2DDD">
        <w:rPr>
          <w:rFonts w:ascii="Book Antiqua" w:hAnsi="Book Antiqua" w:cs="Times New Roman"/>
          <w:lang w:val="es-ES_tradnl"/>
        </w:rPr>
        <w:t>Asimismo,</w:t>
      </w:r>
      <w:r w:rsidR="005B0FCC" w:rsidRPr="00BD2DDD">
        <w:rPr>
          <w:rFonts w:ascii="Book Antiqua" w:hAnsi="Book Antiqua" w:cs="Times New Roman"/>
          <w:lang w:val="es-ES_tradnl"/>
        </w:rPr>
        <w:t xml:space="preserve"> </w:t>
      </w:r>
      <w:r w:rsidR="00075217" w:rsidRPr="00BD2DDD">
        <w:rPr>
          <w:rFonts w:ascii="Book Antiqua" w:hAnsi="Book Antiqua" w:cs="Times New Roman"/>
          <w:lang w:val="es-ES_tradnl"/>
        </w:rPr>
        <w:t xml:space="preserve">el Artículo 123 establece la tutela de las </w:t>
      </w:r>
      <w:r w:rsidR="00075217" w:rsidRPr="00BD2DDD">
        <w:rPr>
          <w:rFonts w:ascii="Book Antiqua" w:hAnsi="Book Antiqua" w:cs="Times New Roman"/>
          <w:b/>
          <w:bCs/>
          <w:lang w:val="es-ES_tradnl"/>
        </w:rPr>
        <w:t>personas menores no emancipadas</w:t>
      </w:r>
      <w:r w:rsidR="00075217" w:rsidRPr="00BD2DDD">
        <w:rPr>
          <w:rFonts w:ascii="Book Antiqua" w:hAnsi="Book Antiqua" w:cs="Times New Roman"/>
          <w:lang w:val="es-ES_tradnl"/>
        </w:rPr>
        <w:t xml:space="preserve"> (es decir, que no han alcanzado los 21 </w:t>
      </w:r>
      <w:r w:rsidR="00283004" w:rsidRPr="00BD2DDD">
        <w:rPr>
          <w:rFonts w:ascii="Book Antiqua" w:hAnsi="Book Antiqua" w:cs="Times New Roman"/>
          <w:lang w:val="es-ES_tradnl"/>
        </w:rPr>
        <w:t>años</w:t>
      </w:r>
      <w:r w:rsidR="00075217" w:rsidRPr="00BD2DDD">
        <w:rPr>
          <w:rFonts w:ascii="Book Antiqua" w:hAnsi="Book Antiqua" w:cs="Times New Roman"/>
          <w:lang w:val="es-ES_tradnl"/>
        </w:rPr>
        <w:t>), y que no se encuentran bajo la patria potestad de sus progenitores</w:t>
      </w:r>
      <w:r w:rsidR="001128BC" w:rsidRPr="00BD2DDD">
        <w:rPr>
          <w:rFonts w:ascii="Book Antiqua" w:hAnsi="Book Antiqua" w:cs="Times New Roman"/>
          <w:lang w:val="es-ES_tradnl"/>
        </w:rPr>
        <w:t xml:space="preserve">. Ello </w:t>
      </w:r>
      <w:r w:rsidR="00283004">
        <w:rPr>
          <w:rFonts w:ascii="Book Antiqua" w:hAnsi="Book Antiqua" w:cs="Times New Roman"/>
          <w:lang w:val="es-ES_tradnl"/>
        </w:rPr>
        <w:t>dispone</w:t>
      </w:r>
      <w:r w:rsidR="001128BC" w:rsidRPr="00BD2DDD">
        <w:rPr>
          <w:rFonts w:ascii="Book Antiqua" w:hAnsi="Book Antiqua" w:cs="Times New Roman"/>
          <w:lang w:val="es-ES_tradnl"/>
        </w:rPr>
        <w:t xml:space="preserve">, nuevamente, la distinción que el </w:t>
      </w:r>
      <w:r w:rsidR="0020745F" w:rsidRPr="00BD2DDD">
        <w:rPr>
          <w:rFonts w:ascii="Book Antiqua" w:hAnsi="Book Antiqua" w:cs="Times New Roman"/>
          <w:lang w:val="es-ES_tradnl"/>
        </w:rPr>
        <w:t>Código</w:t>
      </w:r>
      <w:r w:rsidR="001128BC" w:rsidRPr="00BD2DDD">
        <w:rPr>
          <w:rFonts w:ascii="Book Antiqua" w:hAnsi="Book Antiqua" w:cs="Times New Roman"/>
          <w:lang w:val="es-ES_tradnl"/>
        </w:rPr>
        <w:t xml:space="preserve"> Civil realiza entre </w:t>
      </w:r>
      <w:r w:rsidR="0020745F" w:rsidRPr="00BD2DDD">
        <w:rPr>
          <w:rFonts w:ascii="Book Antiqua" w:hAnsi="Book Antiqua" w:cs="Times New Roman"/>
          <w:lang w:val="es-ES_tradnl"/>
        </w:rPr>
        <w:t>las edades de 18 a 2</w:t>
      </w:r>
      <w:r w:rsidR="00283004">
        <w:rPr>
          <w:rFonts w:ascii="Book Antiqua" w:hAnsi="Book Antiqua" w:cs="Times New Roman"/>
          <w:lang w:val="es-ES_tradnl"/>
        </w:rPr>
        <w:t>0</w:t>
      </w:r>
      <w:r w:rsidR="0020745F" w:rsidRPr="00BD2DDD">
        <w:rPr>
          <w:rFonts w:ascii="Book Antiqua" w:hAnsi="Book Antiqua" w:cs="Times New Roman"/>
          <w:lang w:val="es-ES_tradnl"/>
        </w:rPr>
        <w:t xml:space="preserve"> años.</w:t>
      </w:r>
    </w:p>
    <w:p w14:paraId="1998018B" w14:textId="34640966" w:rsidR="000D2D54" w:rsidRDefault="00283004" w:rsidP="007B060F">
      <w:pPr>
        <w:spacing w:after="240" w:line="21" w:lineRule="atLeast"/>
        <w:ind w:firstLine="432"/>
        <w:jc w:val="both"/>
        <w:rPr>
          <w:rFonts w:ascii="Book Antiqua" w:hAnsi="Book Antiqua" w:cs="Times New Roman"/>
          <w:lang w:val="es-ES_tradnl"/>
        </w:rPr>
      </w:pPr>
      <w:r>
        <w:rPr>
          <w:rFonts w:ascii="Book Antiqua" w:hAnsi="Book Antiqua" w:cs="Times New Roman"/>
          <w:lang w:val="es-ES_tradnl"/>
        </w:rPr>
        <w:t xml:space="preserve">Nuestro </w:t>
      </w:r>
      <w:r w:rsidR="00494FAF" w:rsidRPr="00BD2DDD">
        <w:rPr>
          <w:rFonts w:ascii="Book Antiqua" w:hAnsi="Book Antiqua" w:cs="Times New Roman"/>
          <w:lang w:val="es-ES_tradnl"/>
        </w:rPr>
        <w:t>Código Civil</w:t>
      </w:r>
      <w:r w:rsidR="006F391B" w:rsidRPr="00BD2DDD">
        <w:rPr>
          <w:rFonts w:ascii="Book Antiqua" w:hAnsi="Book Antiqua" w:cs="Times New Roman"/>
          <w:lang w:val="es-ES_tradnl"/>
        </w:rPr>
        <w:t xml:space="preserve">, </w:t>
      </w:r>
      <w:r w:rsidR="006F391B" w:rsidRPr="00BD2DDD">
        <w:rPr>
          <w:rFonts w:ascii="Book Antiqua" w:hAnsi="Book Antiqua" w:cs="Times New Roman"/>
          <w:i/>
          <w:iCs/>
          <w:lang w:val="es-ES_tradnl"/>
        </w:rPr>
        <w:t>supra</w:t>
      </w:r>
      <w:r w:rsidR="006F391B" w:rsidRPr="00BD2DDD">
        <w:rPr>
          <w:rFonts w:ascii="Book Antiqua" w:hAnsi="Book Antiqua" w:cs="Times New Roman"/>
          <w:lang w:val="es-ES_tradnl"/>
        </w:rPr>
        <w:t>,</w:t>
      </w:r>
      <w:r w:rsidR="00494FAF" w:rsidRPr="00BD2DDD">
        <w:rPr>
          <w:rFonts w:ascii="Book Antiqua" w:hAnsi="Book Antiqua" w:cs="Times New Roman"/>
          <w:lang w:val="es-ES_tradnl"/>
        </w:rPr>
        <w:t xml:space="preserve"> también reconoce </w:t>
      </w:r>
      <w:r>
        <w:rPr>
          <w:rFonts w:ascii="Book Antiqua" w:hAnsi="Book Antiqua" w:cs="Times New Roman"/>
          <w:lang w:val="es-ES_tradnl"/>
        </w:rPr>
        <w:t>la</w:t>
      </w:r>
      <w:r w:rsidR="00494FAF" w:rsidRPr="00BD2DDD">
        <w:rPr>
          <w:rFonts w:ascii="Book Antiqua" w:hAnsi="Book Antiqua" w:cs="Times New Roman"/>
          <w:lang w:val="es-ES_tradnl"/>
        </w:rPr>
        <w:t xml:space="preserve"> figura </w:t>
      </w:r>
      <w:r>
        <w:rPr>
          <w:rFonts w:ascii="Book Antiqua" w:hAnsi="Book Antiqua" w:cs="Times New Roman"/>
          <w:lang w:val="es-ES_tradnl"/>
        </w:rPr>
        <w:t xml:space="preserve">de </w:t>
      </w:r>
      <w:r w:rsidR="004E21C5" w:rsidRPr="00BD2DDD">
        <w:rPr>
          <w:rFonts w:ascii="Book Antiqua" w:hAnsi="Book Antiqua" w:cs="Times New Roman"/>
          <w:lang w:val="es-ES_tradnl"/>
        </w:rPr>
        <w:t xml:space="preserve">la </w:t>
      </w:r>
      <w:r w:rsidR="004E21C5" w:rsidRPr="00BD2DDD">
        <w:rPr>
          <w:rFonts w:ascii="Book Antiqua" w:hAnsi="Book Antiqua" w:cs="Times New Roman"/>
          <w:i/>
          <w:iCs/>
          <w:lang w:val="es-ES_tradnl"/>
        </w:rPr>
        <w:t>emancipación</w:t>
      </w:r>
      <w:r w:rsidR="004E21C5" w:rsidRPr="00BD2DDD">
        <w:rPr>
          <w:rFonts w:ascii="Book Antiqua" w:hAnsi="Book Antiqua" w:cs="Times New Roman"/>
          <w:lang w:val="es-ES_tradnl"/>
        </w:rPr>
        <w:t>.</w:t>
      </w:r>
      <w:r w:rsidR="00B80113" w:rsidRPr="00BD2DDD">
        <w:rPr>
          <w:rFonts w:ascii="Book Antiqua" w:hAnsi="Book Antiqua" w:cs="Times New Roman"/>
          <w:lang w:val="es-ES_tradnl"/>
        </w:rPr>
        <w:t xml:space="preserve"> Esta se define </w:t>
      </w:r>
      <w:r w:rsidR="00B74384" w:rsidRPr="00BD2DDD">
        <w:rPr>
          <w:rFonts w:ascii="Book Antiqua" w:hAnsi="Book Antiqua" w:cs="Times New Roman"/>
          <w:lang w:val="es-ES_tradnl"/>
        </w:rPr>
        <w:t>como “el acto jurídico irrevocable, que concede al menor de edad la capacidad de obrar por sí mismo respecto a los negocios jurídicos que conciernen a su persona y a sus bienes, como si fuera mayor”.</w:t>
      </w:r>
      <w:r w:rsidR="00B74384" w:rsidRPr="00BD2DDD">
        <w:rPr>
          <w:rFonts w:ascii="Book Antiqua" w:hAnsi="Book Antiqua" w:cs="Times New Roman"/>
          <w:vertAlign w:val="superscript"/>
          <w:lang w:val="es-ES_tradnl"/>
        </w:rPr>
        <w:footnoteReference w:id="6"/>
      </w:r>
      <w:r w:rsidR="00EA4393" w:rsidRPr="00BD2DDD">
        <w:rPr>
          <w:rFonts w:ascii="Book Antiqua" w:hAnsi="Book Antiqua" w:cs="Times New Roman"/>
          <w:lang w:val="es-ES_tradnl"/>
        </w:rPr>
        <w:t xml:space="preserve"> </w:t>
      </w:r>
      <w:r w:rsidR="008E52CB" w:rsidRPr="00BD2DDD">
        <w:rPr>
          <w:rFonts w:ascii="Book Antiqua" w:hAnsi="Book Antiqua" w:cs="Times New Roman"/>
          <w:lang w:val="es-ES_tradnl"/>
        </w:rPr>
        <w:t xml:space="preserve">Las causales </w:t>
      </w:r>
      <w:r w:rsidR="00C75E75">
        <w:rPr>
          <w:rFonts w:ascii="Book Antiqua" w:hAnsi="Book Antiqua" w:cs="Times New Roman"/>
          <w:lang w:val="es-ES_tradnl"/>
        </w:rPr>
        <w:t>para que e</w:t>
      </w:r>
      <w:r w:rsidR="008E52CB" w:rsidRPr="00BD2DDD">
        <w:rPr>
          <w:rFonts w:ascii="Book Antiqua" w:hAnsi="Book Antiqua" w:cs="Times New Roman"/>
          <w:lang w:val="es-ES_tradnl"/>
        </w:rPr>
        <w:t xml:space="preserve">sta figura jurídica </w:t>
      </w:r>
      <w:r w:rsidR="00C75E75">
        <w:rPr>
          <w:rFonts w:ascii="Book Antiqua" w:hAnsi="Book Antiqua" w:cs="Times New Roman"/>
          <w:lang w:val="es-ES_tradnl"/>
        </w:rPr>
        <w:t xml:space="preserve">opere </w:t>
      </w:r>
      <w:r w:rsidR="008E52CB" w:rsidRPr="00BD2DDD">
        <w:rPr>
          <w:rFonts w:ascii="Book Antiqua" w:hAnsi="Book Antiqua" w:cs="Times New Roman"/>
          <w:lang w:val="es-ES_tradnl"/>
        </w:rPr>
        <w:t xml:space="preserve">se esbozan en el Artículo 638, </w:t>
      </w:r>
      <w:r w:rsidR="00C75E75">
        <w:rPr>
          <w:rFonts w:ascii="Book Antiqua" w:hAnsi="Book Antiqua" w:cs="Times New Roman"/>
          <w:lang w:val="es-ES_tradnl"/>
        </w:rPr>
        <w:t>el cual incluye las siguientes</w:t>
      </w:r>
      <w:r w:rsidR="008E52CB" w:rsidRPr="00BD2DDD">
        <w:rPr>
          <w:rFonts w:ascii="Book Antiqua" w:hAnsi="Book Antiqua" w:cs="Times New Roman"/>
          <w:lang w:val="es-ES_tradnl"/>
        </w:rPr>
        <w:t xml:space="preserve">, a saber: (1) cuando la persona ha llegado a la mayoría de edad; (2) por el matrimonio; (3) por la concesión de los progenitores que ejercen sobre este la patria potestad (o, en su defecto, la persona que ostenta la tutela del menor); y (4) por concesión judicial. </w:t>
      </w:r>
      <w:r w:rsidR="0060177C">
        <w:rPr>
          <w:rFonts w:ascii="Book Antiqua" w:hAnsi="Book Antiqua" w:cs="Times New Roman"/>
          <w:lang w:val="es-ES_tradnl"/>
        </w:rPr>
        <w:t>Bajo</w:t>
      </w:r>
      <w:r w:rsidR="008E52CB" w:rsidRPr="00BD2DDD">
        <w:rPr>
          <w:rFonts w:ascii="Book Antiqua" w:hAnsi="Book Antiqua" w:cs="Times New Roman"/>
          <w:lang w:val="es-ES_tradnl"/>
        </w:rPr>
        <w:t xml:space="preserve"> cualquiera de las condiciones señaladas, la persona menor de edad </w:t>
      </w:r>
      <w:r w:rsidR="008E52CB" w:rsidRPr="00BD2DDD">
        <w:rPr>
          <w:rFonts w:ascii="Book Antiqua" w:hAnsi="Book Antiqua" w:cs="Times New Roman"/>
          <w:b/>
          <w:bCs/>
          <w:lang w:val="es-ES_tradnl"/>
        </w:rPr>
        <w:t>tiene que haber cumplido dieciocho (18) años</w:t>
      </w:r>
      <w:r w:rsidR="008E52CB" w:rsidRPr="00BD2DDD">
        <w:rPr>
          <w:rFonts w:ascii="Book Antiqua" w:hAnsi="Book Antiqua" w:cs="Times New Roman"/>
          <w:lang w:val="es-ES_tradnl"/>
        </w:rPr>
        <w:t>.</w:t>
      </w:r>
      <w:r w:rsidR="008E52CB" w:rsidRPr="00BD2DDD">
        <w:rPr>
          <w:rFonts w:ascii="Book Antiqua" w:hAnsi="Book Antiqua" w:cs="Times New Roman"/>
          <w:vertAlign w:val="superscript"/>
          <w:lang w:val="es-ES_tradnl"/>
        </w:rPr>
        <w:footnoteReference w:id="7"/>
      </w:r>
      <w:r w:rsidR="008E52CB" w:rsidRPr="00BD2DDD">
        <w:rPr>
          <w:rFonts w:ascii="Book Antiqua" w:hAnsi="Book Antiqua" w:cs="Times New Roman"/>
          <w:lang w:val="es-ES_tradnl"/>
        </w:rPr>
        <w:t xml:space="preserve"> </w:t>
      </w:r>
      <w:r w:rsidR="0060177C">
        <w:rPr>
          <w:rFonts w:ascii="Book Antiqua" w:hAnsi="Book Antiqua" w:cs="Times New Roman"/>
          <w:lang w:val="es-ES_tradnl"/>
        </w:rPr>
        <w:t>De manera que, una</w:t>
      </w:r>
      <w:r w:rsidR="009C6F3D" w:rsidRPr="00BD2DDD">
        <w:rPr>
          <w:rFonts w:ascii="Book Antiqua" w:hAnsi="Book Antiqua" w:cs="Times New Roman"/>
          <w:lang w:val="es-ES_tradnl"/>
        </w:rPr>
        <w:t xml:space="preserve"> vez emancipado, </w:t>
      </w:r>
      <w:r w:rsidR="005130BB" w:rsidRPr="00BD2DDD">
        <w:rPr>
          <w:rFonts w:ascii="Book Antiqua" w:hAnsi="Book Antiqua" w:cs="Times New Roman"/>
          <w:lang w:val="es-ES_tradnl"/>
        </w:rPr>
        <w:t xml:space="preserve">el </w:t>
      </w:r>
      <w:r w:rsidR="00DA5A3C" w:rsidRPr="00BD2DDD">
        <w:rPr>
          <w:rFonts w:ascii="Book Antiqua" w:hAnsi="Book Antiqua" w:cs="Times New Roman"/>
          <w:lang w:val="es-ES_tradnl"/>
        </w:rPr>
        <w:t>Código</w:t>
      </w:r>
      <w:r w:rsidR="005130BB" w:rsidRPr="00BD2DDD">
        <w:rPr>
          <w:rFonts w:ascii="Book Antiqua" w:hAnsi="Book Antiqua" w:cs="Times New Roman"/>
          <w:lang w:val="es-ES_tradnl"/>
        </w:rPr>
        <w:t xml:space="preserve"> Civil le reconoce al menor de </w:t>
      </w:r>
      <w:r w:rsidR="0060177C">
        <w:rPr>
          <w:rFonts w:ascii="Book Antiqua" w:hAnsi="Book Antiqua" w:cs="Times New Roman"/>
          <w:lang w:val="es-ES_tradnl"/>
        </w:rPr>
        <w:t xml:space="preserve">entre </w:t>
      </w:r>
      <w:r w:rsidR="00F24D13" w:rsidRPr="00BD2DDD">
        <w:rPr>
          <w:rFonts w:ascii="Book Antiqua" w:hAnsi="Book Antiqua" w:cs="Times New Roman"/>
          <w:lang w:val="es-ES_tradnl"/>
        </w:rPr>
        <w:t>dieciocho (18)</w:t>
      </w:r>
      <w:r w:rsidR="0060177C">
        <w:rPr>
          <w:rFonts w:ascii="Book Antiqua" w:hAnsi="Book Antiqua" w:cs="Times New Roman"/>
          <w:lang w:val="es-ES_tradnl"/>
        </w:rPr>
        <w:t xml:space="preserve"> y veinte (20)</w:t>
      </w:r>
      <w:r w:rsidR="00F24D13" w:rsidRPr="00BD2DDD">
        <w:rPr>
          <w:rFonts w:ascii="Book Antiqua" w:hAnsi="Book Antiqua" w:cs="Times New Roman"/>
          <w:lang w:val="es-ES_tradnl"/>
        </w:rPr>
        <w:t xml:space="preserve"> años </w:t>
      </w:r>
      <w:r w:rsidR="005130BB" w:rsidRPr="00BD2DDD">
        <w:rPr>
          <w:rFonts w:ascii="Book Antiqua" w:hAnsi="Book Antiqua" w:cs="Times New Roman"/>
          <w:lang w:val="es-ES_tradnl"/>
        </w:rPr>
        <w:t xml:space="preserve">ciertas prerrogativas </w:t>
      </w:r>
      <w:r w:rsidR="00DA5A3C" w:rsidRPr="00BD2DDD">
        <w:rPr>
          <w:rFonts w:ascii="Book Antiqua" w:hAnsi="Book Antiqua" w:cs="Times New Roman"/>
          <w:lang w:val="es-ES_tradnl"/>
        </w:rPr>
        <w:t>que actualmente solo se aducen a una persona natural</w:t>
      </w:r>
      <w:r w:rsidR="00F76130" w:rsidRPr="00BD2DDD">
        <w:rPr>
          <w:rFonts w:ascii="Book Antiqua" w:hAnsi="Book Antiqua" w:cs="Times New Roman"/>
          <w:lang w:val="es-ES_tradnl"/>
        </w:rPr>
        <w:t xml:space="preserve"> que ha alcanzado la mayoría de edad</w:t>
      </w:r>
      <w:r w:rsidR="000D2D54">
        <w:rPr>
          <w:rFonts w:ascii="Book Antiqua" w:hAnsi="Book Antiqua" w:cs="Times New Roman"/>
          <w:lang w:val="es-ES_tradnl"/>
        </w:rPr>
        <w:t>.</w:t>
      </w:r>
    </w:p>
    <w:p w14:paraId="661E7FDE" w14:textId="6D228AF5" w:rsidR="00CC7629" w:rsidRPr="00F95BCC" w:rsidRDefault="000A4B86" w:rsidP="007B060F">
      <w:pPr>
        <w:spacing w:after="240" w:line="21" w:lineRule="atLeast"/>
        <w:ind w:firstLine="432"/>
        <w:jc w:val="both"/>
        <w:rPr>
          <w:rFonts w:ascii="Book Antiqua" w:hAnsi="Book Antiqua" w:cs="Times New Roman"/>
          <w:lang w:val="es-ES_tradnl"/>
        </w:rPr>
      </w:pPr>
      <w:r w:rsidRPr="00F95BCC">
        <w:rPr>
          <w:rFonts w:ascii="Book Antiqua" w:hAnsi="Book Antiqua" w:cs="Times New Roman"/>
          <w:lang w:val="es-ES_tradnl"/>
        </w:rPr>
        <w:t xml:space="preserve">En función de lo planteado, </w:t>
      </w:r>
      <w:r w:rsidR="00383FFB" w:rsidRPr="00F95BCC">
        <w:rPr>
          <w:rFonts w:ascii="Book Antiqua" w:hAnsi="Book Antiqua" w:cs="Times New Roman"/>
          <w:lang w:val="es-ES_tradnl"/>
        </w:rPr>
        <w:t>la</w:t>
      </w:r>
      <w:r w:rsidR="001A36D0" w:rsidRPr="00F95BCC">
        <w:rPr>
          <w:rFonts w:ascii="Book Antiqua" w:hAnsi="Book Antiqua" w:cs="Times New Roman"/>
          <w:lang w:val="es-ES_tradnl"/>
        </w:rPr>
        <w:t xml:space="preserve"> Exposición de Motivos</w:t>
      </w:r>
      <w:r w:rsidR="00763BE6" w:rsidRPr="00F95BCC">
        <w:rPr>
          <w:rFonts w:ascii="Book Antiqua" w:hAnsi="Book Antiqua" w:cs="Times New Roman"/>
          <w:lang w:val="es-ES_tradnl"/>
        </w:rPr>
        <w:t xml:space="preserve"> d</w:t>
      </w:r>
      <w:r w:rsidR="001A36D0" w:rsidRPr="00F95BCC">
        <w:rPr>
          <w:rFonts w:ascii="Book Antiqua" w:hAnsi="Book Antiqua" w:cs="Times New Roman"/>
          <w:lang w:val="es-ES_tradnl"/>
        </w:rPr>
        <w:t xml:space="preserve">el </w:t>
      </w:r>
      <w:r w:rsidR="00B43E52">
        <w:rPr>
          <w:rFonts w:ascii="Book Antiqua" w:hAnsi="Book Antiqua" w:cs="Times New Roman"/>
          <w:lang w:val="es-ES_tradnl"/>
        </w:rPr>
        <w:t>P. del S. 920</w:t>
      </w:r>
      <w:r w:rsidR="001A36D0" w:rsidRPr="00F95BCC">
        <w:rPr>
          <w:rFonts w:ascii="Book Antiqua" w:hAnsi="Book Antiqua" w:cs="Times New Roman"/>
          <w:lang w:val="es-ES_tradnl"/>
        </w:rPr>
        <w:t xml:space="preserve"> alude a </w:t>
      </w:r>
      <w:r w:rsidR="00B85B95" w:rsidRPr="00F95BCC">
        <w:rPr>
          <w:rFonts w:ascii="Book Antiqua" w:hAnsi="Book Antiqua" w:cs="Times New Roman"/>
          <w:lang w:val="es-ES_tradnl"/>
        </w:rPr>
        <w:t xml:space="preserve">que, actualmente, cuarenta y siete (47) estados de </w:t>
      </w:r>
      <w:r w:rsidR="00764399" w:rsidRPr="00F95BCC">
        <w:rPr>
          <w:rFonts w:ascii="Book Antiqua" w:hAnsi="Book Antiqua" w:cs="Times New Roman"/>
          <w:lang w:val="es-ES_tradnl"/>
        </w:rPr>
        <w:t xml:space="preserve">los Estados Unidos de América establecen la mayoría de edad </w:t>
      </w:r>
      <w:r w:rsidR="00B43E52">
        <w:rPr>
          <w:rFonts w:ascii="Book Antiqua" w:hAnsi="Book Antiqua" w:cs="Times New Roman"/>
          <w:lang w:val="es-ES_tradnl"/>
        </w:rPr>
        <w:t>en</w:t>
      </w:r>
      <w:r w:rsidR="00764399" w:rsidRPr="00F95BCC">
        <w:rPr>
          <w:rFonts w:ascii="Book Antiqua" w:hAnsi="Book Antiqua" w:cs="Times New Roman"/>
          <w:lang w:val="es-ES_tradnl"/>
        </w:rPr>
        <w:t xml:space="preserve"> los dieciocho (18) años. La excepción a esta norma son los estados de </w:t>
      </w:r>
      <w:r w:rsidR="005A7A35" w:rsidRPr="00F95BCC">
        <w:rPr>
          <w:rFonts w:ascii="Book Antiqua" w:hAnsi="Book Antiqua" w:cs="Times New Roman"/>
          <w:lang w:val="es-ES_tradnl"/>
        </w:rPr>
        <w:t>Alabama</w:t>
      </w:r>
      <w:r w:rsidR="007E0B59">
        <w:rPr>
          <w:rFonts w:ascii="Book Antiqua" w:hAnsi="Book Antiqua" w:cs="Times New Roman"/>
          <w:lang w:val="es-ES_tradnl"/>
        </w:rPr>
        <w:t xml:space="preserve">, </w:t>
      </w:r>
      <w:r w:rsidR="005A7A35" w:rsidRPr="00F95BCC">
        <w:rPr>
          <w:rFonts w:ascii="Book Antiqua" w:hAnsi="Book Antiqua" w:cs="Times New Roman"/>
          <w:lang w:val="es-ES_tradnl"/>
        </w:rPr>
        <w:t>Nebraska</w:t>
      </w:r>
      <w:r w:rsidR="007E0B59">
        <w:rPr>
          <w:rFonts w:ascii="Book Antiqua" w:hAnsi="Book Antiqua" w:cs="Times New Roman"/>
          <w:lang w:val="es-ES_tradnl"/>
        </w:rPr>
        <w:t xml:space="preserve"> y</w:t>
      </w:r>
      <w:r w:rsidR="0077732A">
        <w:rPr>
          <w:rFonts w:ascii="Book Antiqua" w:hAnsi="Book Antiqua" w:cs="Times New Roman"/>
          <w:lang w:val="es-ES_tradnl"/>
        </w:rPr>
        <w:t xml:space="preserve"> la capital Washington D.C.</w:t>
      </w:r>
      <w:r w:rsidR="005A7A35" w:rsidRPr="00F95BCC">
        <w:rPr>
          <w:rFonts w:ascii="Book Antiqua" w:hAnsi="Book Antiqua" w:cs="Times New Roman"/>
          <w:lang w:val="es-ES_tradnl"/>
        </w:rPr>
        <w:t xml:space="preserve">, </w:t>
      </w:r>
      <w:r w:rsidR="0077732A">
        <w:rPr>
          <w:rFonts w:ascii="Book Antiqua" w:hAnsi="Book Antiqua" w:cs="Times New Roman"/>
          <w:lang w:val="es-ES_tradnl"/>
        </w:rPr>
        <w:t>donde se</w:t>
      </w:r>
      <w:r w:rsidR="005A7A35" w:rsidRPr="00F95BCC">
        <w:rPr>
          <w:rFonts w:ascii="Book Antiqua" w:hAnsi="Book Antiqua" w:cs="Times New Roman"/>
          <w:lang w:val="es-ES_tradnl"/>
        </w:rPr>
        <w:t xml:space="preserve"> establece la mayoridad a los diecinueve (19) años, y el estado de Mississippi, </w:t>
      </w:r>
      <w:r w:rsidR="002513E9" w:rsidRPr="00F95BCC">
        <w:rPr>
          <w:rFonts w:ascii="Book Antiqua" w:hAnsi="Book Antiqua" w:cs="Times New Roman"/>
          <w:lang w:val="es-ES_tradnl"/>
        </w:rPr>
        <w:t>cuy</w:t>
      </w:r>
      <w:r w:rsidR="000D2D54" w:rsidRPr="00F95BCC">
        <w:rPr>
          <w:rFonts w:ascii="Book Antiqua" w:hAnsi="Book Antiqua" w:cs="Times New Roman"/>
          <w:lang w:val="es-ES_tradnl"/>
        </w:rPr>
        <w:t>a</w:t>
      </w:r>
      <w:r w:rsidR="00350E67" w:rsidRPr="00F95BCC">
        <w:rPr>
          <w:rFonts w:ascii="Book Antiqua" w:hAnsi="Book Antiqua" w:cs="Times New Roman"/>
          <w:lang w:val="es-ES_tradnl"/>
        </w:rPr>
        <w:t xml:space="preserve"> disposición se </w:t>
      </w:r>
      <w:r w:rsidR="007E0B59">
        <w:rPr>
          <w:rFonts w:ascii="Book Antiqua" w:hAnsi="Book Antiqua" w:cs="Times New Roman"/>
          <w:lang w:val="es-ES_tradnl"/>
        </w:rPr>
        <w:t>mantiene</w:t>
      </w:r>
      <w:r w:rsidR="00350E67" w:rsidRPr="00F95BCC">
        <w:rPr>
          <w:rFonts w:ascii="Book Antiqua" w:hAnsi="Book Antiqua" w:cs="Times New Roman"/>
          <w:lang w:val="es-ES_tradnl"/>
        </w:rPr>
        <w:t xml:space="preserve"> a los veintiún</w:t>
      </w:r>
      <w:r w:rsidR="002513E9" w:rsidRPr="00F95BCC">
        <w:rPr>
          <w:rFonts w:ascii="Book Antiqua" w:hAnsi="Book Antiqua" w:cs="Times New Roman"/>
          <w:lang w:val="es-ES_tradnl"/>
        </w:rPr>
        <w:t xml:space="preserve"> (21)</w:t>
      </w:r>
      <w:r w:rsidR="00350E67" w:rsidRPr="00F95BCC">
        <w:rPr>
          <w:rFonts w:ascii="Book Antiqua" w:hAnsi="Book Antiqua" w:cs="Times New Roman"/>
          <w:lang w:val="es-ES_tradnl"/>
        </w:rPr>
        <w:t xml:space="preserve"> años. </w:t>
      </w:r>
      <w:r w:rsidR="000D2D54" w:rsidRPr="00F95BCC">
        <w:rPr>
          <w:rFonts w:ascii="Book Antiqua" w:hAnsi="Book Antiqua" w:cs="Times New Roman"/>
          <w:lang w:val="es-ES_tradnl"/>
        </w:rPr>
        <w:t xml:space="preserve">Por su parte, el Gobierno Federal no posee ninguna ley o estatuto que </w:t>
      </w:r>
      <w:r w:rsidR="000D2D54" w:rsidRPr="00F95BCC">
        <w:rPr>
          <w:rFonts w:ascii="Book Antiqua" w:hAnsi="Book Antiqua" w:cs="Times New Roman"/>
          <w:lang w:val="es-ES_tradnl"/>
        </w:rPr>
        <w:lastRenderedPageBreak/>
        <w:t>regule la edad en que una persona adviene a la mayoridad. Por lo cual, dicha potestad ha sido delegada exclusivamente a cada estado de la Unión, así como los asuntos concernientes a</w:t>
      </w:r>
      <w:r w:rsidR="00CC7629" w:rsidRPr="00F95BCC">
        <w:rPr>
          <w:rFonts w:ascii="Book Antiqua" w:hAnsi="Book Antiqua" w:cs="Times New Roman"/>
          <w:lang w:val="es-ES_tradnl"/>
        </w:rPr>
        <w:t>l matrimonio, emancipación,</w:t>
      </w:r>
      <w:r w:rsidR="000D2D54" w:rsidRPr="00F95BCC">
        <w:rPr>
          <w:rFonts w:ascii="Book Antiqua" w:hAnsi="Book Antiqua" w:cs="Times New Roman"/>
          <w:lang w:val="es-ES_tradnl"/>
        </w:rPr>
        <w:t xml:space="preserve"> responsabilidad criminal</w:t>
      </w:r>
      <w:r w:rsidR="00CC7629" w:rsidRPr="00F95BCC">
        <w:rPr>
          <w:rFonts w:ascii="Book Antiqua" w:hAnsi="Book Antiqua" w:cs="Times New Roman"/>
          <w:lang w:val="es-ES_tradnl"/>
        </w:rPr>
        <w:t xml:space="preserve"> y </w:t>
      </w:r>
      <w:r w:rsidR="000D2D54" w:rsidRPr="00F95BCC">
        <w:rPr>
          <w:rFonts w:ascii="Book Antiqua" w:hAnsi="Book Antiqua" w:cs="Times New Roman"/>
          <w:lang w:val="es-ES_tradnl"/>
        </w:rPr>
        <w:t xml:space="preserve">la edad base en la cual una persona puede ser procesada penalmente. </w:t>
      </w:r>
      <w:r w:rsidR="00CC7629" w:rsidRPr="00F95BCC">
        <w:rPr>
          <w:rFonts w:ascii="Book Antiqua" w:hAnsi="Book Antiqua" w:cs="Times New Roman"/>
          <w:lang w:val="es-ES_tradnl"/>
        </w:rPr>
        <w:t>Dado la capacidad regulatoria de</w:t>
      </w:r>
      <w:r w:rsidR="004223F7">
        <w:rPr>
          <w:rFonts w:ascii="Book Antiqua" w:hAnsi="Book Antiqua" w:cs="Times New Roman"/>
          <w:lang w:val="es-ES_tradnl"/>
        </w:rPr>
        <w:t xml:space="preserve"> los gobiernos locales</w:t>
      </w:r>
      <w:r w:rsidR="00CC7629" w:rsidRPr="00F95BCC">
        <w:rPr>
          <w:rFonts w:ascii="Book Antiqua" w:hAnsi="Book Antiqua" w:cs="Times New Roman"/>
          <w:lang w:val="es-ES_tradnl"/>
        </w:rPr>
        <w:t xml:space="preserve">, </w:t>
      </w:r>
      <w:r w:rsidR="004223F7">
        <w:rPr>
          <w:rFonts w:ascii="Book Antiqua" w:hAnsi="Book Antiqua" w:cs="Times New Roman"/>
          <w:lang w:val="es-ES_tradnl"/>
        </w:rPr>
        <w:t xml:space="preserve">la mayoridad de la persona natural </w:t>
      </w:r>
      <w:r w:rsidR="00CC7629" w:rsidRPr="00F95BCC">
        <w:rPr>
          <w:rFonts w:ascii="Book Antiqua" w:hAnsi="Book Antiqua" w:cs="Times New Roman"/>
          <w:lang w:val="es-ES_tradnl"/>
        </w:rPr>
        <w:t xml:space="preserve">pudiera variar </w:t>
      </w:r>
      <w:r w:rsidR="004223F7">
        <w:rPr>
          <w:rFonts w:ascii="Book Antiqua" w:hAnsi="Book Antiqua" w:cs="Times New Roman"/>
          <w:lang w:val="es-ES_tradnl"/>
        </w:rPr>
        <w:t xml:space="preserve">de jurisdicción en jurisdicción. </w:t>
      </w:r>
    </w:p>
    <w:p w14:paraId="127BDEB5" w14:textId="6F2A6D1A" w:rsidR="00E94248" w:rsidRPr="00F95BCC" w:rsidRDefault="004A3F76" w:rsidP="007B060F">
      <w:pPr>
        <w:spacing w:after="240" w:line="21" w:lineRule="atLeast"/>
        <w:ind w:firstLine="432"/>
        <w:jc w:val="both"/>
        <w:rPr>
          <w:rFonts w:ascii="Book Antiqua" w:hAnsi="Book Antiqua" w:cs="Times New Roman"/>
          <w:lang w:val="es-ES_tradnl"/>
        </w:rPr>
      </w:pPr>
      <w:r w:rsidRPr="00F95BCC">
        <w:rPr>
          <w:rFonts w:ascii="Book Antiqua" w:hAnsi="Book Antiqua" w:cs="Times New Roman"/>
          <w:lang w:val="es-ES_tradnl"/>
        </w:rPr>
        <w:t xml:space="preserve">No obstante, </w:t>
      </w:r>
      <w:r w:rsidR="004223F7">
        <w:rPr>
          <w:rFonts w:ascii="Book Antiqua" w:hAnsi="Book Antiqua" w:cs="Times New Roman"/>
          <w:lang w:val="es-ES_tradnl"/>
        </w:rPr>
        <w:t>sabido es</w:t>
      </w:r>
      <w:r w:rsidRPr="00F95BCC">
        <w:rPr>
          <w:rFonts w:ascii="Book Antiqua" w:hAnsi="Book Antiqua" w:cs="Times New Roman"/>
          <w:lang w:val="es-ES_tradnl"/>
        </w:rPr>
        <w:t xml:space="preserve"> que el Gobierno Federal ha establecido </w:t>
      </w:r>
      <w:r w:rsidR="00983FAC" w:rsidRPr="00F95BCC">
        <w:rPr>
          <w:rFonts w:ascii="Book Antiqua" w:hAnsi="Book Antiqua" w:cs="Times New Roman"/>
          <w:lang w:val="es-ES_tradnl"/>
        </w:rPr>
        <w:t xml:space="preserve">excepciones </w:t>
      </w:r>
      <w:r w:rsidR="00E8216B" w:rsidRPr="00F95BCC">
        <w:rPr>
          <w:rFonts w:ascii="Book Antiqua" w:hAnsi="Book Antiqua" w:cs="Times New Roman"/>
          <w:lang w:val="es-ES_tradnl"/>
        </w:rPr>
        <w:t xml:space="preserve">a esta norma. </w:t>
      </w:r>
      <w:r w:rsidR="00C40721" w:rsidRPr="00F95BCC">
        <w:rPr>
          <w:rFonts w:ascii="Book Antiqua" w:hAnsi="Book Antiqua" w:cs="Times New Roman"/>
          <w:lang w:val="es-ES_tradnl"/>
        </w:rPr>
        <w:t xml:space="preserve">En efecto, </w:t>
      </w:r>
      <w:r w:rsidR="00593F0B" w:rsidRPr="00F95BCC">
        <w:rPr>
          <w:rFonts w:ascii="Book Antiqua" w:hAnsi="Book Antiqua" w:cs="Times New Roman"/>
          <w:lang w:val="es-ES_tradnl"/>
        </w:rPr>
        <w:t>u</w:t>
      </w:r>
      <w:r w:rsidR="002A12A4" w:rsidRPr="00F95BCC">
        <w:rPr>
          <w:rFonts w:ascii="Book Antiqua" w:hAnsi="Book Antiqua" w:cs="Times New Roman"/>
          <w:lang w:val="es-ES_tradnl"/>
        </w:rPr>
        <w:t>n ejemplo es</w:t>
      </w:r>
      <w:r w:rsidR="00E36055" w:rsidRPr="00F95BCC">
        <w:rPr>
          <w:rFonts w:ascii="Book Antiqua" w:hAnsi="Book Antiqua" w:cs="Times New Roman"/>
          <w:lang w:val="es-ES_tradnl"/>
        </w:rPr>
        <w:t xml:space="preserve"> la edad legal </w:t>
      </w:r>
      <w:r w:rsidR="00744748">
        <w:rPr>
          <w:rFonts w:ascii="Book Antiqua" w:hAnsi="Book Antiqua" w:cs="Times New Roman"/>
          <w:lang w:val="es-ES_tradnl"/>
        </w:rPr>
        <w:t xml:space="preserve">autorizada </w:t>
      </w:r>
      <w:r w:rsidR="00E36055" w:rsidRPr="00F95BCC">
        <w:rPr>
          <w:rFonts w:ascii="Book Antiqua" w:hAnsi="Book Antiqua" w:cs="Times New Roman"/>
          <w:lang w:val="es-ES_tradnl"/>
        </w:rPr>
        <w:t xml:space="preserve">para consumir bebidas alcohólicas en </w:t>
      </w:r>
      <w:r w:rsidR="000269E7">
        <w:rPr>
          <w:rFonts w:ascii="Book Antiqua" w:hAnsi="Book Antiqua" w:cs="Times New Roman"/>
          <w:lang w:val="es-ES_tradnl"/>
        </w:rPr>
        <w:t>los Estados Unidos de América</w:t>
      </w:r>
      <w:r w:rsidR="00E36055" w:rsidRPr="00F95BCC">
        <w:rPr>
          <w:rFonts w:ascii="Book Antiqua" w:hAnsi="Book Antiqua" w:cs="Times New Roman"/>
          <w:lang w:val="es-ES_tradnl"/>
        </w:rPr>
        <w:t>. Mediante la implementación de la “</w:t>
      </w:r>
      <w:r w:rsidR="00E217E9" w:rsidRPr="00DE2028">
        <w:rPr>
          <w:rFonts w:ascii="Book Antiqua" w:hAnsi="Book Antiqua" w:cs="Times New Roman"/>
          <w:i/>
          <w:iCs/>
          <w:lang w:val="es-PR"/>
        </w:rPr>
        <w:t>National Minimum Drinking Age Act</w:t>
      </w:r>
      <w:r w:rsidR="00E217E9" w:rsidRPr="00DE2028">
        <w:rPr>
          <w:rFonts w:ascii="Book Antiqua" w:hAnsi="Book Antiqua" w:cs="Times New Roman"/>
          <w:lang w:val="es-PR"/>
        </w:rPr>
        <w:t xml:space="preserve">”, </w:t>
      </w:r>
      <w:r w:rsidR="00E217E9" w:rsidRPr="00F95BCC">
        <w:rPr>
          <w:rFonts w:ascii="Book Antiqua" w:hAnsi="Book Antiqua" w:cs="Times New Roman"/>
          <w:lang w:val="es-ES_tradnl"/>
        </w:rPr>
        <w:t xml:space="preserve">el Congreso de los </w:t>
      </w:r>
      <w:r w:rsidR="00355962" w:rsidRPr="00F95BCC">
        <w:rPr>
          <w:rFonts w:ascii="Book Antiqua" w:hAnsi="Book Antiqua" w:cs="Times New Roman"/>
          <w:lang w:val="es-ES_tradnl"/>
        </w:rPr>
        <w:t>Estados</w:t>
      </w:r>
      <w:r w:rsidR="00E217E9" w:rsidRPr="00F95BCC">
        <w:rPr>
          <w:rFonts w:ascii="Book Antiqua" w:hAnsi="Book Antiqua" w:cs="Times New Roman"/>
          <w:lang w:val="es-ES_tradnl"/>
        </w:rPr>
        <w:t xml:space="preserve"> Unidos </w:t>
      </w:r>
      <w:r w:rsidR="004B73EA" w:rsidRPr="00F95BCC">
        <w:rPr>
          <w:rFonts w:ascii="Book Antiqua" w:hAnsi="Book Antiqua" w:cs="Times New Roman"/>
          <w:lang w:val="es-ES_tradnl"/>
        </w:rPr>
        <w:t xml:space="preserve">dispuso que, para </w:t>
      </w:r>
      <w:r w:rsidR="00B30675" w:rsidRPr="00F95BCC">
        <w:rPr>
          <w:rFonts w:ascii="Book Antiqua" w:hAnsi="Book Antiqua" w:cs="Times New Roman"/>
          <w:lang w:val="es-ES_tradnl"/>
        </w:rPr>
        <w:t>propósitos d</w:t>
      </w:r>
      <w:r w:rsidR="004B73EA" w:rsidRPr="00F95BCC">
        <w:rPr>
          <w:rFonts w:ascii="Book Antiqua" w:hAnsi="Book Antiqua" w:cs="Times New Roman"/>
          <w:lang w:val="es-ES_tradnl"/>
        </w:rPr>
        <w:t>e</w:t>
      </w:r>
      <w:r w:rsidR="00211576" w:rsidRPr="00F95BCC">
        <w:rPr>
          <w:rFonts w:ascii="Book Antiqua" w:hAnsi="Book Antiqua" w:cs="Times New Roman"/>
          <w:lang w:val="es-ES_tradnl"/>
        </w:rPr>
        <w:t xml:space="preserve"> </w:t>
      </w:r>
      <w:r w:rsidR="004B73EA" w:rsidRPr="00F95BCC">
        <w:rPr>
          <w:rFonts w:ascii="Book Antiqua" w:hAnsi="Book Antiqua" w:cs="Times New Roman"/>
          <w:lang w:val="es-ES_tradnl"/>
        </w:rPr>
        <w:t>l</w:t>
      </w:r>
      <w:r w:rsidR="00211576" w:rsidRPr="00F95BCC">
        <w:rPr>
          <w:rFonts w:ascii="Book Antiqua" w:hAnsi="Book Antiqua" w:cs="Times New Roman"/>
          <w:lang w:val="es-ES_tradnl"/>
        </w:rPr>
        <w:t>a compra y</w:t>
      </w:r>
      <w:r w:rsidR="004B73EA" w:rsidRPr="00F95BCC">
        <w:rPr>
          <w:rFonts w:ascii="Book Antiqua" w:hAnsi="Book Antiqua" w:cs="Times New Roman"/>
          <w:lang w:val="es-ES_tradnl"/>
        </w:rPr>
        <w:t xml:space="preserve"> consumo de alcohol</w:t>
      </w:r>
      <w:r w:rsidR="00B30675" w:rsidRPr="00F95BCC">
        <w:rPr>
          <w:rFonts w:ascii="Book Antiqua" w:hAnsi="Book Antiqua" w:cs="Times New Roman"/>
          <w:lang w:val="es-ES_tradnl"/>
        </w:rPr>
        <w:t xml:space="preserve">, una persona </w:t>
      </w:r>
      <w:r w:rsidR="00211576" w:rsidRPr="00F95BCC">
        <w:rPr>
          <w:rFonts w:ascii="Book Antiqua" w:hAnsi="Book Antiqua" w:cs="Times New Roman"/>
          <w:lang w:val="es-ES_tradnl"/>
        </w:rPr>
        <w:t xml:space="preserve">debe tener, al menos, </w:t>
      </w:r>
      <w:r w:rsidR="00D2046A" w:rsidRPr="00F95BCC">
        <w:rPr>
          <w:rFonts w:ascii="Book Antiqua" w:hAnsi="Book Antiqua" w:cs="Times New Roman"/>
          <w:lang w:val="es-ES_tradnl"/>
        </w:rPr>
        <w:t>veintiún (21) años.</w:t>
      </w:r>
      <w:r w:rsidR="00D2046A" w:rsidRPr="00F95BCC">
        <w:rPr>
          <w:rStyle w:val="FootnoteReference"/>
          <w:rFonts w:ascii="Book Antiqua" w:hAnsi="Book Antiqua" w:cs="Times New Roman"/>
          <w:lang w:val="es-ES_tradnl"/>
        </w:rPr>
        <w:footnoteReference w:id="8"/>
      </w:r>
      <w:r w:rsidR="00D2046A" w:rsidRPr="00F95BCC">
        <w:rPr>
          <w:rFonts w:ascii="Book Antiqua" w:hAnsi="Book Antiqua" w:cs="Times New Roman"/>
          <w:lang w:val="es-ES_tradnl"/>
        </w:rPr>
        <w:t xml:space="preserve"> </w:t>
      </w:r>
      <w:r w:rsidR="002A09EE" w:rsidRPr="00F95BCC">
        <w:rPr>
          <w:rFonts w:ascii="Book Antiqua" w:hAnsi="Book Antiqua" w:cs="Times New Roman"/>
          <w:lang w:val="es-ES_tradnl"/>
        </w:rPr>
        <w:t>Igualmente</w:t>
      </w:r>
      <w:r w:rsidR="001B228B" w:rsidRPr="00F95BCC">
        <w:rPr>
          <w:rFonts w:ascii="Book Antiqua" w:hAnsi="Book Antiqua" w:cs="Times New Roman"/>
          <w:lang w:val="es-ES_tradnl"/>
        </w:rPr>
        <w:t>,</w:t>
      </w:r>
      <w:r w:rsidR="00A5041E" w:rsidRPr="00F95BCC">
        <w:rPr>
          <w:rFonts w:ascii="Book Antiqua" w:hAnsi="Book Antiqua" w:cs="Times New Roman"/>
          <w:lang w:val="es-ES_tradnl"/>
        </w:rPr>
        <w:t xml:space="preserve"> bajo</w:t>
      </w:r>
      <w:r w:rsidR="001B228B" w:rsidRPr="00F95BCC">
        <w:rPr>
          <w:rFonts w:ascii="Book Antiqua" w:hAnsi="Book Antiqua" w:cs="Times New Roman"/>
          <w:lang w:val="es-ES_tradnl"/>
        </w:rPr>
        <w:t xml:space="preserve"> </w:t>
      </w:r>
      <w:r w:rsidR="004962FE" w:rsidRPr="00F95BCC">
        <w:rPr>
          <w:rFonts w:ascii="Book Antiqua" w:hAnsi="Book Antiqua" w:cs="Times New Roman"/>
          <w:lang w:val="es-ES_tradnl"/>
        </w:rPr>
        <w:t>la Constitución</w:t>
      </w:r>
      <w:r w:rsidR="001B228B" w:rsidRPr="00F95BCC">
        <w:rPr>
          <w:rFonts w:ascii="Book Antiqua" w:hAnsi="Book Antiqua" w:cs="Times New Roman"/>
          <w:lang w:val="es-ES_tradnl"/>
        </w:rPr>
        <w:t xml:space="preserve"> de los Estados Unidos de América</w:t>
      </w:r>
      <w:r w:rsidR="004962FE" w:rsidRPr="00F95BCC">
        <w:rPr>
          <w:rFonts w:ascii="Book Antiqua" w:hAnsi="Book Antiqua" w:cs="Times New Roman"/>
          <w:lang w:val="es-ES_tradnl"/>
        </w:rPr>
        <w:t xml:space="preserve"> </w:t>
      </w:r>
      <w:r w:rsidR="00D1163E" w:rsidRPr="00F95BCC">
        <w:rPr>
          <w:rFonts w:ascii="Book Antiqua" w:hAnsi="Book Antiqua" w:cs="Times New Roman"/>
          <w:lang w:val="es-ES_tradnl"/>
        </w:rPr>
        <w:t xml:space="preserve">se </w:t>
      </w:r>
      <w:r w:rsidR="00A11DA8" w:rsidRPr="00F95BCC">
        <w:rPr>
          <w:rFonts w:ascii="Book Antiqua" w:hAnsi="Book Antiqua" w:cs="Times New Roman"/>
          <w:lang w:val="es-ES_tradnl"/>
        </w:rPr>
        <w:t>dispone</w:t>
      </w:r>
      <w:r w:rsidR="004962FE" w:rsidRPr="00F95BCC">
        <w:rPr>
          <w:rFonts w:ascii="Book Antiqua" w:hAnsi="Book Antiqua" w:cs="Times New Roman"/>
          <w:lang w:val="es-ES_tradnl"/>
        </w:rPr>
        <w:t xml:space="preserve"> que “e</w:t>
      </w:r>
      <w:r w:rsidR="000269E7">
        <w:rPr>
          <w:rFonts w:ascii="Book Antiqua" w:hAnsi="Book Antiqua" w:cs="Times New Roman"/>
          <w:lang w:val="es-ES_tradnl"/>
        </w:rPr>
        <w:t>l</w:t>
      </w:r>
      <w:r w:rsidR="004962FE" w:rsidRPr="00F95BCC">
        <w:rPr>
          <w:rFonts w:ascii="Book Antiqua" w:hAnsi="Book Antiqua" w:cs="Times New Roman"/>
          <w:lang w:val="es-ES_tradnl"/>
        </w:rPr>
        <w:t xml:space="preserve"> derecho al voto de los ciudadanos de los Estados Unidos que tengan dieciocho años de edad o más no será denegado o coartado, ni por los Estados Unidos ni por estado alguno, a causa de la edad”</w:t>
      </w:r>
      <w:r w:rsidR="00A37FCC" w:rsidRPr="00F95BCC">
        <w:rPr>
          <w:rFonts w:ascii="Book Antiqua" w:hAnsi="Book Antiqua" w:cs="Times New Roman"/>
          <w:lang w:val="es-ES_tradnl"/>
        </w:rPr>
        <w:t>.</w:t>
      </w:r>
      <w:r w:rsidR="00FE7EAE" w:rsidRPr="00F95BCC">
        <w:rPr>
          <w:rStyle w:val="FootnoteReference"/>
          <w:rFonts w:ascii="Book Antiqua" w:hAnsi="Book Antiqua" w:cs="Times New Roman"/>
          <w:lang w:val="es-ES_tradnl"/>
        </w:rPr>
        <w:footnoteReference w:id="9"/>
      </w:r>
      <w:r w:rsidR="00A37FCC" w:rsidRPr="00F95BCC">
        <w:rPr>
          <w:rFonts w:ascii="Book Antiqua" w:hAnsi="Book Antiqua" w:cs="Times New Roman"/>
          <w:lang w:val="es-ES_tradnl"/>
        </w:rPr>
        <w:t xml:space="preserve"> Ello, sin duda, reconoce la capacidad de una persona de </w:t>
      </w:r>
      <w:r w:rsidR="004A6989">
        <w:rPr>
          <w:rFonts w:ascii="Book Antiqua" w:hAnsi="Book Antiqua" w:cs="Times New Roman"/>
          <w:lang w:val="es-ES_tradnl"/>
        </w:rPr>
        <w:t>dieciocho (</w:t>
      </w:r>
      <w:r w:rsidR="00A37FCC" w:rsidRPr="00F95BCC">
        <w:rPr>
          <w:rFonts w:ascii="Book Antiqua" w:hAnsi="Book Antiqua" w:cs="Times New Roman"/>
          <w:lang w:val="es-ES_tradnl"/>
        </w:rPr>
        <w:t>18</w:t>
      </w:r>
      <w:r w:rsidR="004A6989">
        <w:rPr>
          <w:rFonts w:ascii="Book Antiqua" w:hAnsi="Book Antiqua" w:cs="Times New Roman"/>
          <w:lang w:val="es-ES_tradnl"/>
        </w:rPr>
        <w:t>)</w:t>
      </w:r>
      <w:r w:rsidR="00A37FCC" w:rsidRPr="00F95BCC">
        <w:rPr>
          <w:rFonts w:ascii="Book Antiqua" w:hAnsi="Book Antiqua" w:cs="Times New Roman"/>
          <w:lang w:val="es-ES_tradnl"/>
        </w:rPr>
        <w:t xml:space="preserve"> años a ejercer </w:t>
      </w:r>
      <w:r w:rsidR="0097063B" w:rsidRPr="00F95BCC">
        <w:rPr>
          <w:rFonts w:ascii="Book Antiqua" w:hAnsi="Book Antiqua" w:cs="Times New Roman"/>
          <w:lang w:val="es-ES_tradnl"/>
        </w:rPr>
        <w:t>uno de los derechos individuales de mayor importancia e</w:t>
      </w:r>
      <w:r w:rsidR="00A319B2" w:rsidRPr="00F95BCC">
        <w:rPr>
          <w:rFonts w:ascii="Book Antiqua" w:hAnsi="Book Antiqua" w:cs="Times New Roman"/>
          <w:lang w:val="es-ES_tradnl"/>
        </w:rPr>
        <w:t xml:space="preserve"> incalculable valor </w:t>
      </w:r>
      <w:r w:rsidR="0097063B" w:rsidRPr="00F95BCC">
        <w:rPr>
          <w:rFonts w:ascii="Book Antiqua" w:hAnsi="Book Antiqua" w:cs="Times New Roman"/>
          <w:lang w:val="es-ES_tradnl"/>
        </w:rPr>
        <w:t xml:space="preserve">en la nación estadounidense. </w:t>
      </w:r>
      <w:r w:rsidR="00CC7629" w:rsidRPr="00F95BCC">
        <w:rPr>
          <w:rFonts w:ascii="Book Antiqua" w:hAnsi="Book Antiqua" w:cs="Times New Roman"/>
          <w:lang w:val="es-ES_tradnl"/>
        </w:rPr>
        <w:t>Por otro lado</w:t>
      </w:r>
      <w:r w:rsidR="004F4266" w:rsidRPr="00F95BCC">
        <w:rPr>
          <w:rFonts w:ascii="Book Antiqua" w:hAnsi="Book Antiqua" w:cs="Times New Roman"/>
          <w:lang w:val="es-ES_tradnl"/>
        </w:rPr>
        <w:t xml:space="preserve">, el Gobierno Federal </w:t>
      </w:r>
      <w:r w:rsidR="00CC7629" w:rsidRPr="00F95BCC">
        <w:rPr>
          <w:rFonts w:ascii="Book Antiqua" w:hAnsi="Book Antiqua" w:cs="Times New Roman"/>
          <w:lang w:val="es-ES_tradnl"/>
        </w:rPr>
        <w:t xml:space="preserve">también </w:t>
      </w:r>
      <w:r w:rsidR="004F4266" w:rsidRPr="00F95BCC">
        <w:rPr>
          <w:rFonts w:ascii="Book Antiqua" w:hAnsi="Book Antiqua" w:cs="Times New Roman"/>
          <w:lang w:val="es-ES_tradnl"/>
        </w:rPr>
        <w:t>ha</w:t>
      </w:r>
      <w:r w:rsidR="005C3B10" w:rsidRPr="00F95BCC">
        <w:rPr>
          <w:rFonts w:ascii="Book Antiqua" w:hAnsi="Book Antiqua" w:cs="Times New Roman"/>
          <w:lang w:val="es-ES_tradnl"/>
        </w:rPr>
        <w:t xml:space="preserve"> reconocido</w:t>
      </w:r>
      <w:r w:rsidR="00E94248" w:rsidRPr="00F95BCC">
        <w:rPr>
          <w:rFonts w:ascii="Book Antiqua" w:hAnsi="Book Antiqua" w:cs="Times New Roman"/>
          <w:lang w:val="es-ES_tradnl"/>
        </w:rPr>
        <w:t xml:space="preserve"> </w:t>
      </w:r>
      <w:r w:rsidR="00AB7A91" w:rsidRPr="00F95BCC">
        <w:rPr>
          <w:rFonts w:ascii="Book Antiqua" w:hAnsi="Book Antiqua" w:cs="Times New Roman"/>
          <w:lang w:val="es-ES_tradnl"/>
        </w:rPr>
        <w:t xml:space="preserve">como uno de los </w:t>
      </w:r>
      <w:r w:rsidR="0074034C" w:rsidRPr="00F95BCC">
        <w:rPr>
          <w:rFonts w:ascii="Book Antiqua" w:hAnsi="Book Antiqua" w:cs="Times New Roman"/>
          <w:lang w:val="es-ES_tradnl"/>
        </w:rPr>
        <w:t>requisitos para unirse al ejército de EE. UU.</w:t>
      </w:r>
      <w:r w:rsidR="00AB7A91" w:rsidRPr="00F95BCC">
        <w:rPr>
          <w:rFonts w:ascii="Book Antiqua" w:hAnsi="Book Antiqua" w:cs="Times New Roman"/>
          <w:lang w:val="es-ES_tradnl"/>
        </w:rPr>
        <w:t xml:space="preserve"> el que una persona tenga, como edad mínima, diecisiete (17) </w:t>
      </w:r>
      <w:r w:rsidR="004A6989" w:rsidRPr="00F95BCC">
        <w:rPr>
          <w:rFonts w:ascii="Book Antiqua" w:hAnsi="Book Antiqua" w:cs="Times New Roman"/>
          <w:lang w:val="es-ES_tradnl"/>
        </w:rPr>
        <w:t>años</w:t>
      </w:r>
      <w:r w:rsidR="00AB7A91" w:rsidRPr="00F95BCC">
        <w:rPr>
          <w:rFonts w:ascii="Book Antiqua" w:hAnsi="Book Antiqua" w:cs="Times New Roman"/>
          <w:lang w:val="es-ES_tradnl"/>
        </w:rPr>
        <w:t>.</w:t>
      </w:r>
      <w:r w:rsidR="00223808" w:rsidRPr="00F95BCC">
        <w:rPr>
          <w:rFonts w:ascii="Book Antiqua" w:hAnsi="Book Antiqua" w:cs="Times New Roman"/>
          <w:lang w:val="es-ES_tradnl"/>
        </w:rPr>
        <w:t xml:space="preserve"> Lo anterior pone</w:t>
      </w:r>
      <w:r w:rsidR="00677D9B" w:rsidRPr="00F95BCC">
        <w:rPr>
          <w:rFonts w:ascii="Book Antiqua" w:hAnsi="Book Antiqua" w:cs="Times New Roman"/>
          <w:lang w:val="es-ES_tradnl"/>
        </w:rPr>
        <w:t xml:space="preserve"> </w:t>
      </w:r>
      <w:r w:rsidR="004A6989">
        <w:rPr>
          <w:rFonts w:ascii="Book Antiqua" w:hAnsi="Book Antiqua" w:cs="Times New Roman"/>
          <w:lang w:val="es-ES_tradnl"/>
        </w:rPr>
        <w:t>de</w:t>
      </w:r>
      <w:r w:rsidR="00677D9B" w:rsidRPr="00F95BCC">
        <w:rPr>
          <w:rFonts w:ascii="Book Antiqua" w:hAnsi="Book Antiqua" w:cs="Times New Roman"/>
          <w:lang w:val="es-ES_tradnl"/>
        </w:rPr>
        <w:t xml:space="preserve"> relieve la deferencia que se</w:t>
      </w:r>
      <w:r w:rsidR="00EB4C93" w:rsidRPr="00F95BCC">
        <w:rPr>
          <w:rFonts w:ascii="Book Antiqua" w:hAnsi="Book Antiqua" w:cs="Times New Roman"/>
          <w:lang w:val="es-ES_tradnl"/>
        </w:rPr>
        <w:t xml:space="preserve"> le reconoce a un</w:t>
      </w:r>
      <w:r w:rsidR="00B87875" w:rsidRPr="00F95BCC">
        <w:rPr>
          <w:rFonts w:ascii="Book Antiqua" w:hAnsi="Book Antiqua" w:cs="Times New Roman"/>
          <w:lang w:val="es-ES_tradnl"/>
        </w:rPr>
        <w:t xml:space="preserve"> individuo </w:t>
      </w:r>
      <w:r w:rsidR="00EB4C93" w:rsidRPr="00F95BCC">
        <w:rPr>
          <w:rFonts w:ascii="Book Antiqua" w:hAnsi="Book Antiqua" w:cs="Times New Roman"/>
          <w:lang w:val="es-ES_tradnl"/>
        </w:rPr>
        <w:t xml:space="preserve">de </w:t>
      </w:r>
      <w:r w:rsidR="004A6989">
        <w:rPr>
          <w:rFonts w:ascii="Book Antiqua" w:hAnsi="Book Antiqua" w:cs="Times New Roman"/>
          <w:lang w:val="es-ES_tradnl"/>
        </w:rPr>
        <w:t>dieciocho (</w:t>
      </w:r>
      <w:r w:rsidR="00EB4C93" w:rsidRPr="00F95BCC">
        <w:rPr>
          <w:rFonts w:ascii="Book Antiqua" w:hAnsi="Book Antiqua" w:cs="Times New Roman"/>
          <w:lang w:val="es-ES_tradnl"/>
        </w:rPr>
        <w:t>18</w:t>
      </w:r>
      <w:r w:rsidR="004A6989">
        <w:rPr>
          <w:rFonts w:ascii="Book Antiqua" w:hAnsi="Book Antiqua" w:cs="Times New Roman"/>
          <w:lang w:val="es-ES_tradnl"/>
        </w:rPr>
        <w:t>)</w:t>
      </w:r>
      <w:r w:rsidR="00EB4C93" w:rsidRPr="00F95BCC">
        <w:rPr>
          <w:rFonts w:ascii="Book Antiqua" w:hAnsi="Book Antiqua" w:cs="Times New Roman"/>
          <w:lang w:val="es-ES_tradnl"/>
        </w:rPr>
        <w:t xml:space="preserve"> años </w:t>
      </w:r>
      <w:r w:rsidR="005E3B2D" w:rsidRPr="00F95BCC">
        <w:rPr>
          <w:rFonts w:ascii="Book Antiqua" w:hAnsi="Book Antiqua" w:cs="Times New Roman"/>
          <w:lang w:val="es-ES_tradnl"/>
        </w:rPr>
        <w:t xml:space="preserve">en la toma de decisiones sobre sí y asuntos </w:t>
      </w:r>
      <w:r w:rsidR="00B87875" w:rsidRPr="00F95BCC">
        <w:rPr>
          <w:rFonts w:ascii="Book Antiqua" w:hAnsi="Book Antiqua" w:cs="Times New Roman"/>
          <w:lang w:val="es-ES_tradnl"/>
        </w:rPr>
        <w:t>concernientes a su persona.</w:t>
      </w:r>
    </w:p>
    <w:p w14:paraId="790B7823" w14:textId="23FF23CD" w:rsidR="00D5015C" w:rsidRPr="00F95BCC" w:rsidRDefault="004A6989" w:rsidP="007B060F">
      <w:pPr>
        <w:spacing w:after="240" w:line="21" w:lineRule="atLeast"/>
        <w:ind w:firstLine="432"/>
        <w:jc w:val="both"/>
        <w:rPr>
          <w:rFonts w:ascii="Book Antiqua" w:hAnsi="Book Antiqua" w:cs="Times New Roman"/>
          <w:lang w:val="es-ES_tradnl"/>
        </w:rPr>
      </w:pPr>
      <w:r>
        <w:rPr>
          <w:rFonts w:ascii="Book Antiqua" w:hAnsi="Book Antiqua" w:cs="Times New Roman"/>
          <w:lang w:val="es-ES_tradnl"/>
        </w:rPr>
        <w:t>Existe</w:t>
      </w:r>
      <w:r w:rsidR="00D5015C" w:rsidRPr="00F95BCC">
        <w:rPr>
          <w:rFonts w:ascii="Book Antiqua" w:hAnsi="Book Antiqua" w:cs="Times New Roman"/>
          <w:lang w:val="es-ES_tradnl"/>
        </w:rPr>
        <w:t xml:space="preserve"> una clara realidad en los Estados Unidos: el consenso general apunta a que el noventa y cuatro (94) por ciento de los gobiernos </w:t>
      </w:r>
      <w:r w:rsidR="00C97D13">
        <w:rPr>
          <w:rFonts w:ascii="Book Antiqua" w:hAnsi="Book Antiqua" w:cs="Times New Roman"/>
          <w:lang w:val="es-ES_tradnl"/>
        </w:rPr>
        <w:t>locales</w:t>
      </w:r>
      <w:r w:rsidR="00D5015C" w:rsidRPr="00F95BCC">
        <w:rPr>
          <w:rFonts w:ascii="Book Antiqua" w:hAnsi="Book Antiqua" w:cs="Times New Roman"/>
          <w:lang w:val="es-ES_tradnl"/>
        </w:rPr>
        <w:t xml:space="preserve"> consideran que una persona natural ha alcanzado la mayoría de edad al cumplir los dieciocho (18) años. Sin embargo, ello no surg</w:t>
      </w:r>
      <w:r w:rsidR="00C80BDF" w:rsidRPr="00F95BCC">
        <w:rPr>
          <w:rFonts w:ascii="Book Antiqua" w:hAnsi="Book Antiqua" w:cs="Times New Roman"/>
          <w:lang w:val="es-ES_tradnl"/>
        </w:rPr>
        <w:t>ido</w:t>
      </w:r>
      <w:r w:rsidR="00D5015C" w:rsidRPr="00F95BCC">
        <w:rPr>
          <w:rFonts w:ascii="Book Antiqua" w:hAnsi="Book Antiqua" w:cs="Times New Roman"/>
          <w:lang w:val="es-ES_tradnl"/>
        </w:rPr>
        <w:t xml:space="preserve"> </w:t>
      </w:r>
      <w:r w:rsidR="00C80BDF" w:rsidRPr="00F95BCC">
        <w:rPr>
          <w:rFonts w:ascii="Book Antiqua" w:hAnsi="Book Antiqua" w:cs="Times New Roman"/>
          <w:lang w:val="es-ES_tradnl"/>
        </w:rPr>
        <w:t xml:space="preserve">en un vacío o bajo un contexto aislado. </w:t>
      </w:r>
      <w:r w:rsidR="0006476C" w:rsidRPr="00F95BCC">
        <w:rPr>
          <w:rFonts w:ascii="Book Antiqua" w:hAnsi="Book Antiqua" w:cs="Times New Roman"/>
          <w:lang w:val="es-ES_tradnl"/>
        </w:rPr>
        <w:t xml:space="preserve">Otorgando una mirada internacional, decenas de países soberanos han estatuido el principio de mayoridad a la edad </w:t>
      </w:r>
      <w:r w:rsidR="00C97D13">
        <w:rPr>
          <w:rFonts w:ascii="Book Antiqua" w:hAnsi="Book Antiqua" w:cs="Times New Roman"/>
          <w:lang w:val="es-ES_tradnl"/>
        </w:rPr>
        <w:t>previamente comentada</w:t>
      </w:r>
      <w:r w:rsidR="0006476C" w:rsidRPr="00F95BCC">
        <w:rPr>
          <w:rFonts w:ascii="Book Antiqua" w:hAnsi="Book Antiqua" w:cs="Times New Roman"/>
          <w:lang w:val="es-ES_tradnl"/>
        </w:rPr>
        <w:t xml:space="preserve">. </w:t>
      </w:r>
      <w:r w:rsidR="000218F1" w:rsidRPr="00F95BCC">
        <w:rPr>
          <w:rFonts w:ascii="Book Antiqua" w:hAnsi="Book Antiqua" w:cs="Times New Roman"/>
          <w:lang w:val="es-ES_tradnl"/>
        </w:rPr>
        <w:t xml:space="preserve">En </w:t>
      </w:r>
      <w:r w:rsidR="00D57763" w:rsidRPr="00F95BCC">
        <w:rPr>
          <w:rFonts w:ascii="Book Antiqua" w:hAnsi="Book Antiqua" w:cs="Times New Roman"/>
          <w:lang w:val="es-ES_tradnl"/>
        </w:rPr>
        <w:t>Reino Unido</w:t>
      </w:r>
      <w:r w:rsidR="000218F1" w:rsidRPr="00F95BCC">
        <w:rPr>
          <w:rFonts w:ascii="Book Antiqua" w:hAnsi="Book Antiqua" w:cs="Times New Roman"/>
          <w:lang w:val="es-ES_tradnl"/>
        </w:rPr>
        <w:t>, por ejemplo, por casi medio siglo, la mayoridad se estatuía a los veintiún (21) años. No obstante, mediante la “</w:t>
      </w:r>
      <w:r w:rsidR="000218F1" w:rsidRPr="00DE2028">
        <w:rPr>
          <w:rFonts w:ascii="Book Antiqua" w:hAnsi="Book Antiqua" w:cs="Times New Roman"/>
          <w:i/>
          <w:iCs/>
          <w:lang w:val="es-PR"/>
        </w:rPr>
        <w:t>Family Law Reform Act</w:t>
      </w:r>
      <w:r w:rsidR="000218F1" w:rsidRPr="00F95BCC">
        <w:rPr>
          <w:rFonts w:ascii="Book Antiqua" w:hAnsi="Book Antiqua" w:cs="Times New Roman"/>
          <w:lang w:val="es-ES_tradnl"/>
        </w:rPr>
        <w:t xml:space="preserve">” de 1969, </w:t>
      </w:r>
      <w:r w:rsidR="00D57763" w:rsidRPr="00F95BCC">
        <w:rPr>
          <w:rFonts w:ascii="Book Antiqua" w:hAnsi="Book Antiqua" w:cs="Times New Roman"/>
          <w:lang w:val="es-ES_tradnl"/>
        </w:rPr>
        <w:t xml:space="preserve">el Parlamento </w:t>
      </w:r>
      <w:r w:rsidR="00262F4E">
        <w:rPr>
          <w:rFonts w:ascii="Book Antiqua" w:hAnsi="Book Antiqua" w:cs="Times New Roman"/>
          <w:lang w:val="es-ES_tradnl"/>
        </w:rPr>
        <w:t xml:space="preserve">la </w:t>
      </w:r>
      <w:r w:rsidR="00D57763" w:rsidRPr="00F95BCC">
        <w:rPr>
          <w:rFonts w:ascii="Book Antiqua" w:hAnsi="Book Antiqua" w:cs="Times New Roman"/>
          <w:lang w:val="es-ES_tradnl"/>
        </w:rPr>
        <w:t>redujo a 18 años</w:t>
      </w:r>
      <w:r w:rsidR="00F95BCC" w:rsidRPr="00F95BCC">
        <w:rPr>
          <w:rFonts w:ascii="Book Antiqua" w:hAnsi="Book Antiqua" w:cs="Times New Roman"/>
          <w:lang w:val="es-ES_tradnl"/>
        </w:rPr>
        <w:t xml:space="preserve">, reformulando así varias disposiciones del derecho civil inglés. Asimismo, en </w:t>
      </w:r>
      <w:r w:rsidR="00154B7E" w:rsidRPr="00F95BCC">
        <w:rPr>
          <w:rFonts w:ascii="Book Antiqua" w:hAnsi="Book Antiqua" w:cs="Times New Roman"/>
          <w:lang w:val="es-ES_tradnl"/>
        </w:rPr>
        <w:t>el</w:t>
      </w:r>
      <w:r w:rsidR="0006476C" w:rsidRPr="00F95BCC">
        <w:rPr>
          <w:rFonts w:ascii="Book Antiqua" w:hAnsi="Book Antiqua" w:cs="Times New Roman"/>
          <w:lang w:val="es-ES_tradnl"/>
        </w:rPr>
        <w:t xml:space="preserve"> </w:t>
      </w:r>
      <w:r w:rsidR="00154B7E" w:rsidRPr="00F95BCC">
        <w:rPr>
          <w:rFonts w:ascii="Book Antiqua" w:hAnsi="Book Antiqua" w:cs="Times New Roman"/>
          <w:lang w:val="es-ES_tradnl"/>
        </w:rPr>
        <w:t xml:space="preserve">1989, la Asamblea General de las Naciones Unidas (ONU, por sus siglas en inglés) aprobó la Resolución 44/25, conocida como “Convención sobre los Derechos del Niño”. Según esbozado en su Artículo 1, la Convención estableció que </w:t>
      </w:r>
      <w:r w:rsidR="00154B7E" w:rsidRPr="00154B7E">
        <w:rPr>
          <w:rFonts w:ascii="Book Antiqua" w:hAnsi="Book Antiqua" w:cs="Times New Roman"/>
          <w:lang w:val="es-ES_tradnl"/>
        </w:rPr>
        <w:t>toda persona menor de dieciocho (18) años es considerado un niño</w:t>
      </w:r>
      <w:r w:rsidR="00154B7E" w:rsidRPr="00F95BCC">
        <w:rPr>
          <w:rFonts w:ascii="Book Antiqua" w:hAnsi="Book Antiqua" w:cs="Times New Roman"/>
          <w:lang w:val="es-ES_tradnl"/>
        </w:rPr>
        <w:t>(a)</w:t>
      </w:r>
      <w:r w:rsidR="00154B7E" w:rsidRPr="00154B7E">
        <w:rPr>
          <w:rFonts w:ascii="Book Antiqua" w:hAnsi="Book Antiqua" w:cs="Times New Roman"/>
          <w:lang w:val="es-ES_tradnl"/>
        </w:rPr>
        <w:t xml:space="preserve"> menor de edad</w:t>
      </w:r>
      <w:r w:rsidR="001F5A76" w:rsidRPr="00F95BCC">
        <w:rPr>
          <w:rFonts w:ascii="Book Antiqua" w:hAnsi="Book Antiqua" w:cs="Times New Roman"/>
          <w:lang w:val="es-ES_tradnl"/>
        </w:rPr>
        <w:t>,</w:t>
      </w:r>
      <w:r w:rsidR="00154B7E" w:rsidRPr="00F95BCC">
        <w:rPr>
          <w:rStyle w:val="FootnoteReference"/>
          <w:rFonts w:ascii="Book Antiqua" w:hAnsi="Book Antiqua" w:cs="Times New Roman"/>
          <w:lang w:val="es-ES_tradnl"/>
        </w:rPr>
        <w:footnoteReference w:id="10"/>
      </w:r>
      <w:r w:rsidR="001F5A76" w:rsidRPr="00F95BCC">
        <w:rPr>
          <w:rFonts w:ascii="Book Antiqua" w:hAnsi="Book Antiqua" w:cs="Times New Roman"/>
          <w:lang w:val="es-ES_tradnl"/>
        </w:rPr>
        <w:t xml:space="preserve"> siendo firmado y ratificado por más de </w:t>
      </w:r>
      <w:r w:rsidR="0070206D" w:rsidRPr="00F95BCC">
        <w:rPr>
          <w:rFonts w:ascii="Book Antiqua" w:hAnsi="Book Antiqua" w:cs="Times New Roman"/>
          <w:lang w:val="es-ES_tradnl"/>
        </w:rPr>
        <w:t>ciento noventa</w:t>
      </w:r>
      <w:r w:rsidR="002D4DC4" w:rsidRPr="00F95BCC">
        <w:rPr>
          <w:rFonts w:ascii="Book Antiqua" w:hAnsi="Book Antiqua" w:cs="Times New Roman"/>
          <w:lang w:val="es-ES_tradnl"/>
        </w:rPr>
        <w:t xml:space="preserve"> </w:t>
      </w:r>
      <w:r w:rsidR="0070206D" w:rsidRPr="00F95BCC">
        <w:rPr>
          <w:rFonts w:ascii="Book Antiqua" w:hAnsi="Book Antiqua" w:cs="Times New Roman"/>
          <w:lang w:val="es-ES_tradnl"/>
        </w:rPr>
        <w:t xml:space="preserve">(190) </w:t>
      </w:r>
      <w:r w:rsidR="002D4DC4" w:rsidRPr="00F95BCC">
        <w:rPr>
          <w:rFonts w:ascii="Book Antiqua" w:hAnsi="Book Antiqua" w:cs="Times New Roman"/>
          <w:lang w:val="es-ES_tradnl"/>
        </w:rPr>
        <w:t>países, con la excepción de los Estados Unidos</w:t>
      </w:r>
      <w:r w:rsidR="0070206D" w:rsidRPr="00F95BCC">
        <w:rPr>
          <w:rFonts w:ascii="Book Antiqua" w:hAnsi="Book Antiqua" w:cs="Times New Roman"/>
          <w:lang w:val="es-ES_tradnl"/>
        </w:rPr>
        <w:t xml:space="preserve"> de América</w:t>
      </w:r>
      <w:r w:rsidR="00ED22B3">
        <w:rPr>
          <w:rFonts w:ascii="Book Antiqua" w:hAnsi="Book Antiqua" w:cs="Times New Roman"/>
          <w:lang w:val="es-ES_tradnl"/>
        </w:rPr>
        <w:t xml:space="preserve"> quien optó por </w:t>
      </w:r>
      <w:r w:rsidR="0070206D" w:rsidRPr="00F95BCC">
        <w:rPr>
          <w:rFonts w:ascii="Book Antiqua" w:hAnsi="Book Antiqua" w:cs="Times New Roman"/>
          <w:lang w:val="es-ES_tradnl"/>
        </w:rPr>
        <w:t>firmado</w:t>
      </w:r>
      <w:r w:rsidR="000218F1" w:rsidRPr="00F95BCC">
        <w:rPr>
          <w:rFonts w:ascii="Book Antiqua" w:hAnsi="Book Antiqua" w:cs="Times New Roman"/>
          <w:lang w:val="es-ES_tradnl"/>
        </w:rPr>
        <w:t xml:space="preserve">, pero no </w:t>
      </w:r>
      <w:r w:rsidR="00ED22B3">
        <w:rPr>
          <w:rFonts w:ascii="Book Antiqua" w:hAnsi="Book Antiqua" w:cs="Times New Roman"/>
          <w:lang w:val="es-ES_tradnl"/>
        </w:rPr>
        <w:t xml:space="preserve">ha sido </w:t>
      </w:r>
      <w:r w:rsidR="000218F1" w:rsidRPr="00F95BCC">
        <w:rPr>
          <w:rFonts w:ascii="Book Antiqua" w:hAnsi="Book Antiqua" w:cs="Times New Roman"/>
          <w:lang w:val="es-ES_tradnl"/>
        </w:rPr>
        <w:t>ratificado</w:t>
      </w:r>
      <w:r w:rsidR="00ED22B3">
        <w:rPr>
          <w:rFonts w:ascii="Book Antiqua" w:hAnsi="Book Antiqua" w:cs="Times New Roman"/>
          <w:lang w:val="es-ES_tradnl"/>
        </w:rPr>
        <w:t xml:space="preserve">. </w:t>
      </w:r>
    </w:p>
    <w:p w14:paraId="02CF0233" w14:textId="19F6EA53" w:rsidR="00CC7629" w:rsidRDefault="006106D4" w:rsidP="007B060F">
      <w:pPr>
        <w:spacing w:after="240" w:line="21" w:lineRule="atLeast"/>
        <w:ind w:firstLine="432"/>
        <w:jc w:val="both"/>
        <w:rPr>
          <w:rFonts w:ascii="Book Antiqua" w:hAnsi="Book Antiqua" w:cs="Times New Roman"/>
          <w:lang w:val="es-ES_tradnl"/>
        </w:rPr>
      </w:pPr>
      <w:r w:rsidRPr="00982C22">
        <w:rPr>
          <w:rFonts w:ascii="Book Antiqua" w:hAnsi="Book Antiqua" w:cs="Times New Roman"/>
          <w:lang w:val="es-ES_tradnl"/>
        </w:rPr>
        <w:lastRenderedPageBreak/>
        <w:t xml:space="preserve">Según comentado, es ampliamente conocido que nuestro Código Civil ha sido fuertemente influenciado por el derecho civilista español. El Código Civil de España se remonta al Real Decreto </w:t>
      </w:r>
      <w:r w:rsidR="00A87FD8">
        <w:rPr>
          <w:rFonts w:ascii="Book Antiqua" w:hAnsi="Book Antiqua" w:cs="Times New Roman"/>
          <w:lang w:val="es-ES_tradnl"/>
        </w:rPr>
        <w:t>de</w:t>
      </w:r>
      <w:r w:rsidRPr="00982C22">
        <w:rPr>
          <w:rFonts w:ascii="Book Antiqua" w:hAnsi="Book Antiqua" w:cs="Times New Roman"/>
          <w:lang w:val="es-ES_tradnl"/>
        </w:rPr>
        <w:t xml:space="preserve"> 24 de julio de 1889 y hecho extensivo a </w:t>
      </w:r>
      <w:r w:rsidR="00A87FD8" w:rsidRPr="00982C22">
        <w:rPr>
          <w:rFonts w:ascii="Book Antiqua" w:hAnsi="Book Antiqua" w:cs="Times New Roman"/>
          <w:lang w:val="es-ES_tradnl"/>
        </w:rPr>
        <w:t>nuestro territorio</w:t>
      </w:r>
      <w:r w:rsidRPr="00982C22">
        <w:rPr>
          <w:rFonts w:ascii="Book Antiqua" w:hAnsi="Book Antiqua" w:cs="Times New Roman"/>
          <w:lang w:val="es-ES_tradnl"/>
        </w:rPr>
        <w:t xml:space="preserve"> en el 1890. En lo concerniente </w:t>
      </w:r>
      <w:r w:rsidR="00A87FD8">
        <w:rPr>
          <w:rFonts w:ascii="Book Antiqua" w:hAnsi="Book Antiqua" w:cs="Times New Roman"/>
          <w:lang w:val="es-ES_tradnl"/>
        </w:rPr>
        <w:t>a la mayoridad</w:t>
      </w:r>
      <w:r w:rsidRPr="00982C22">
        <w:rPr>
          <w:rFonts w:ascii="Book Antiqua" w:hAnsi="Book Antiqua" w:cs="Times New Roman"/>
          <w:lang w:val="es-ES_tradnl"/>
        </w:rPr>
        <w:t xml:space="preserve">, el Código Civil </w:t>
      </w:r>
      <w:r w:rsidR="00152E58">
        <w:rPr>
          <w:rFonts w:ascii="Book Antiqua" w:hAnsi="Book Antiqua" w:cs="Times New Roman"/>
          <w:lang w:val="es-ES_tradnl"/>
        </w:rPr>
        <w:t>E</w:t>
      </w:r>
      <w:r w:rsidRPr="00982C22">
        <w:rPr>
          <w:rFonts w:ascii="Book Antiqua" w:hAnsi="Book Antiqua" w:cs="Times New Roman"/>
          <w:lang w:val="es-ES_tradnl"/>
        </w:rPr>
        <w:t>spañol</w:t>
      </w:r>
      <w:r w:rsidR="00152E58">
        <w:rPr>
          <w:rFonts w:ascii="Book Antiqua" w:hAnsi="Book Antiqua" w:cs="Times New Roman"/>
          <w:lang w:val="es-ES_tradnl"/>
        </w:rPr>
        <w:t xml:space="preserve"> vigente</w:t>
      </w:r>
      <w:r w:rsidRPr="00982C22">
        <w:rPr>
          <w:rFonts w:ascii="Book Antiqua" w:hAnsi="Book Antiqua" w:cs="Times New Roman"/>
          <w:lang w:val="es-ES_tradnl"/>
        </w:rPr>
        <w:t xml:space="preserve"> dispone </w:t>
      </w:r>
      <w:r w:rsidR="00A87FD8">
        <w:rPr>
          <w:rFonts w:ascii="Book Antiqua" w:hAnsi="Book Antiqua" w:cs="Times New Roman"/>
          <w:lang w:val="es-ES_tradnl"/>
        </w:rPr>
        <w:t>en</w:t>
      </w:r>
      <w:r w:rsidRPr="00982C22">
        <w:rPr>
          <w:rFonts w:ascii="Book Antiqua" w:hAnsi="Book Antiqua" w:cs="Times New Roman"/>
          <w:lang w:val="es-ES_tradnl"/>
        </w:rPr>
        <w:t xml:space="preserve"> su Artículo 240 que “la mayor edad </w:t>
      </w:r>
      <w:r w:rsidRPr="00982C22">
        <w:rPr>
          <w:rFonts w:ascii="Book Antiqua" w:hAnsi="Book Antiqua" w:cs="Times New Roman"/>
          <w:b/>
          <w:bCs/>
          <w:lang w:val="es-ES_tradnl"/>
        </w:rPr>
        <w:t>empieza a los dieciocho años cumplidos</w:t>
      </w:r>
      <w:r w:rsidRPr="00982C22">
        <w:rPr>
          <w:rFonts w:ascii="Book Antiqua" w:hAnsi="Book Antiqua" w:cs="Times New Roman"/>
          <w:lang w:val="es-ES_tradnl"/>
        </w:rPr>
        <w:t>”.</w:t>
      </w:r>
      <w:r w:rsidRPr="00982C22">
        <w:rPr>
          <w:rFonts w:ascii="Book Antiqua" w:hAnsi="Book Antiqua" w:cs="Times New Roman"/>
          <w:vertAlign w:val="superscript"/>
          <w:lang w:val="es-ES_tradnl"/>
        </w:rPr>
        <w:footnoteReference w:id="11"/>
      </w:r>
      <w:r w:rsidR="00152E58">
        <w:rPr>
          <w:rFonts w:ascii="Book Antiqua" w:hAnsi="Book Antiqua" w:cs="Times New Roman"/>
          <w:lang w:val="es-ES_tradnl"/>
        </w:rPr>
        <w:t xml:space="preserve"> No obstante, esta fijación no siempre ha sido así. Bajo el Código de</w:t>
      </w:r>
      <w:r w:rsidR="00BE184E">
        <w:rPr>
          <w:rFonts w:ascii="Book Antiqua" w:hAnsi="Book Antiqua" w:cs="Times New Roman"/>
          <w:lang w:val="es-ES_tradnl"/>
        </w:rPr>
        <w:t xml:space="preserve"> finales del siglo</w:t>
      </w:r>
      <w:r w:rsidR="00152E58">
        <w:rPr>
          <w:rFonts w:ascii="Book Antiqua" w:hAnsi="Book Antiqua" w:cs="Times New Roman"/>
          <w:lang w:val="es-ES_tradnl"/>
        </w:rPr>
        <w:t xml:space="preserve"> XIX, la mayoridad se establecía </w:t>
      </w:r>
      <w:r w:rsidR="00BE184E">
        <w:rPr>
          <w:rFonts w:ascii="Book Antiqua" w:hAnsi="Book Antiqua" w:cs="Times New Roman"/>
          <w:lang w:val="es-ES_tradnl"/>
        </w:rPr>
        <w:t xml:space="preserve">a los veintitrés (23) años, habiéndose reducido de los veinticinco (25) años </w:t>
      </w:r>
      <w:r w:rsidR="006E7900">
        <w:rPr>
          <w:rFonts w:ascii="Book Antiqua" w:hAnsi="Book Antiqua" w:cs="Times New Roman"/>
          <w:lang w:val="es-ES_tradnl"/>
        </w:rPr>
        <w:t>dispuesta</w:t>
      </w:r>
      <w:r w:rsidR="00BE184E">
        <w:rPr>
          <w:rFonts w:ascii="Book Antiqua" w:hAnsi="Book Antiqua" w:cs="Times New Roman"/>
          <w:lang w:val="es-ES_tradnl"/>
        </w:rPr>
        <w:t xml:space="preserve"> previamente. No fue, sin embargo, hasta mediados del siglo XX que fue replanteada nuevamente la reducción de la mayoría de edad. Específicamente, mediante </w:t>
      </w:r>
      <w:r w:rsidR="00611C18">
        <w:rPr>
          <w:rFonts w:ascii="Book Antiqua" w:hAnsi="Book Antiqua" w:cs="Times New Roman"/>
          <w:lang w:val="es-ES_tradnl"/>
        </w:rPr>
        <w:t xml:space="preserve">el Artículo 1 de </w:t>
      </w:r>
      <w:r w:rsidR="00BE184E">
        <w:rPr>
          <w:rFonts w:ascii="Book Antiqua" w:hAnsi="Book Antiqua" w:cs="Times New Roman"/>
          <w:lang w:val="es-ES_tradnl"/>
        </w:rPr>
        <w:t xml:space="preserve">la Ley </w:t>
      </w:r>
      <w:r w:rsidR="00611C18">
        <w:rPr>
          <w:rFonts w:ascii="Book Antiqua" w:hAnsi="Book Antiqua" w:cs="Times New Roman"/>
          <w:lang w:val="es-ES_tradnl"/>
        </w:rPr>
        <w:t>de 13 de diciembre de 1943 se estableció la mayoridad a los veintiún (21) años.</w:t>
      </w:r>
      <w:r w:rsidR="00611C18">
        <w:rPr>
          <w:rStyle w:val="FootnoteReference"/>
          <w:rFonts w:ascii="Book Antiqua" w:hAnsi="Book Antiqua" w:cs="Times New Roman"/>
          <w:lang w:val="es-ES_tradnl"/>
        </w:rPr>
        <w:footnoteReference w:id="12"/>
      </w:r>
      <w:r w:rsidR="00611C18">
        <w:rPr>
          <w:rFonts w:ascii="Book Antiqua" w:hAnsi="Book Antiqua" w:cs="Times New Roman"/>
          <w:lang w:val="es-ES_tradnl"/>
        </w:rPr>
        <w:t xml:space="preserve"> Sin embargo, por medio del Real Decreto de 1978 y del Artículo 12 de la Constitución </w:t>
      </w:r>
      <w:r w:rsidR="00863AFA">
        <w:rPr>
          <w:rFonts w:ascii="Book Antiqua" w:hAnsi="Book Antiqua" w:cs="Times New Roman"/>
          <w:lang w:val="es-ES_tradnl"/>
        </w:rPr>
        <w:t>española</w:t>
      </w:r>
      <w:r w:rsidR="00611C18">
        <w:rPr>
          <w:rFonts w:ascii="Book Antiqua" w:hAnsi="Book Antiqua" w:cs="Times New Roman"/>
          <w:lang w:val="es-ES_tradnl"/>
        </w:rPr>
        <w:t xml:space="preserve">, se fijó que los españoles son mayores de edad a los dieciocho (18) años. Desde entonces, la edad a la que una persona adviene a la </w:t>
      </w:r>
      <w:r w:rsidR="00954DA6">
        <w:rPr>
          <w:rFonts w:ascii="Book Antiqua" w:hAnsi="Book Antiqua" w:cs="Times New Roman"/>
          <w:lang w:val="es-ES_tradnl"/>
        </w:rPr>
        <w:t>adultez</w:t>
      </w:r>
      <w:r w:rsidR="00611C18">
        <w:rPr>
          <w:rFonts w:ascii="Book Antiqua" w:hAnsi="Book Antiqua" w:cs="Times New Roman"/>
          <w:lang w:val="es-ES_tradnl"/>
        </w:rPr>
        <w:t>, en España, se ha mantenido inalterada.</w:t>
      </w:r>
    </w:p>
    <w:p w14:paraId="5912CAB7" w14:textId="3D1F4204" w:rsidR="00611C18" w:rsidRDefault="00611C18" w:rsidP="007B060F">
      <w:pPr>
        <w:spacing w:after="240" w:line="21" w:lineRule="atLeast"/>
        <w:ind w:firstLine="432"/>
        <w:jc w:val="both"/>
        <w:rPr>
          <w:rFonts w:ascii="Book Antiqua" w:hAnsi="Book Antiqua" w:cs="Times New Roman"/>
          <w:lang w:val="es-ES_tradnl"/>
        </w:rPr>
      </w:pPr>
      <w:r>
        <w:rPr>
          <w:rFonts w:ascii="Book Antiqua" w:hAnsi="Book Antiqua" w:cs="Times New Roman"/>
          <w:lang w:val="es-ES_tradnl"/>
        </w:rPr>
        <w:t xml:space="preserve">Dicho lo anterior, es indudable que </w:t>
      </w:r>
      <w:r w:rsidR="006122C1">
        <w:rPr>
          <w:rFonts w:ascii="Book Antiqua" w:hAnsi="Book Antiqua" w:cs="Times New Roman"/>
          <w:lang w:val="es-ES_tradnl"/>
        </w:rPr>
        <w:t>existe un</w:t>
      </w:r>
      <w:r>
        <w:rPr>
          <w:rFonts w:ascii="Book Antiqua" w:hAnsi="Book Antiqua" w:cs="Times New Roman"/>
          <w:lang w:val="es-ES_tradnl"/>
        </w:rPr>
        <w:t xml:space="preserve"> consenso </w:t>
      </w:r>
      <w:r w:rsidR="006122C1">
        <w:rPr>
          <w:rFonts w:ascii="Book Antiqua" w:hAnsi="Book Antiqua" w:cs="Times New Roman"/>
          <w:lang w:val="es-ES_tradnl"/>
        </w:rPr>
        <w:t xml:space="preserve">que </w:t>
      </w:r>
      <w:r>
        <w:rPr>
          <w:rFonts w:ascii="Book Antiqua" w:hAnsi="Book Antiqua" w:cs="Times New Roman"/>
          <w:lang w:val="es-ES_tradnl"/>
        </w:rPr>
        <w:t xml:space="preserve">apunta </w:t>
      </w:r>
      <w:r w:rsidR="006122C1">
        <w:rPr>
          <w:rFonts w:ascii="Book Antiqua" w:hAnsi="Book Antiqua" w:cs="Times New Roman"/>
          <w:lang w:val="es-ES_tradnl"/>
        </w:rPr>
        <w:t xml:space="preserve">a </w:t>
      </w:r>
      <w:r>
        <w:rPr>
          <w:rFonts w:ascii="Book Antiqua" w:hAnsi="Book Antiqua" w:cs="Times New Roman"/>
          <w:lang w:val="es-ES_tradnl"/>
        </w:rPr>
        <w:t xml:space="preserve">una fijación </w:t>
      </w:r>
      <w:r w:rsidR="0035226A">
        <w:rPr>
          <w:rFonts w:ascii="Book Antiqua" w:hAnsi="Book Antiqua" w:cs="Times New Roman"/>
          <w:lang w:val="es-ES_tradnl"/>
        </w:rPr>
        <w:t xml:space="preserve">de la mayoridad a los dieciocho (18) años y que, en aquellos periodos donde la mayoridad se ha establecido en </w:t>
      </w:r>
      <w:r w:rsidR="006122C1">
        <w:rPr>
          <w:rFonts w:ascii="Book Antiqua" w:hAnsi="Book Antiqua" w:cs="Times New Roman"/>
          <w:lang w:val="es-ES_tradnl"/>
        </w:rPr>
        <w:t>un plazo superior</w:t>
      </w:r>
      <w:r w:rsidR="0035226A">
        <w:rPr>
          <w:rFonts w:ascii="Book Antiqua" w:hAnsi="Book Antiqua" w:cs="Times New Roman"/>
          <w:lang w:val="es-ES_tradnl"/>
        </w:rPr>
        <w:t xml:space="preserve">, esta se ha visto reducida </w:t>
      </w:r>
      <w:r w:rsidR="006122C1" w:rsidRPr="006122C1">
        <w:rPr>
          <w:rFonts w:ascii="Book Antiqua" w:hAnsi="Book Antiqua" w:cs="Times New Roman"/>
          <w:lang w:val="es-ES_tradnl"/>
        </w:rPr>
        <w:t>gradualmente</w:t>
      </w:r>
      <w:r w:rsidR="0035226A">
        <w:rPr>
          <w:rFonts w:ascii="Book Antiqua" w:hAnsi="Book Antiqua" w:cs="Times New Roman"/>
          <w:lang w:val="es-ES_tradnl"/>
        </w:rPr>
        <w:t xml:space="preserve">. Tomando en cuenta los nuevos avances sociales, económicos y políticos del siglo XXI, es necesario que </w:t>
      </w:r>
      <w:r w:rsidR="006122C1">
        <w:rPr>
          <w:rFonts w:ascii="Book Antiqua" w:hAnsi="Book Antiqua" w:cs="Times New Roman"/>
          <w:lang w:val="es-ES_tradnl"/>
        </w:rPr>
        <w:t>se repiense</w:t>
      </w:r>
      <w:r w:rsidR="0035226A">
        <w:rPr>
          <w:rFonts w:ascii="Book Antiqua" w:hAnsi="Book Antiqua" w:cs="Times New Roman"/>
          <w:lang w:val="es-ES_tradnl"/>
        </w:rPr>
        <w:t xml:space="preserve"> el </w:t>
      </w:r>
      <w:r w:rsidR="00AE6E5E">
        <w:rPr>
          <w:rFonts w:ascii="Book Antiqua" w:hAnsi="Book Antiqua" w:cs="Times New Roman"/>
          <w:lang w:val="es-ES_tradnl"/>
        </w:rPr>
        <w:t>acercamiento otorgado</w:t>
      </w:r>
      <w:r w:rsidR="006122C1">
        <w:rPr>
          <w:rFonts w:ascii="Book Antiqua" w:hAnsi="Book Antiqua" w:cs="Times New Roman"/>
          <w:lang w:val="es-ES_tradnl"/>
        </w:rPr>
        <w:t xml:space="preserve"> a </w:t>
      </w:r>
      <w:r w:rsidR="0035226A">
        <w:rPr>
          <w:rFonts w:ascii="Book Antiqua" w:hAnsi="Book Antiqua" w:cs="Times New Roman"/>
          <w:lang w:val="es-ES_tradnl"/>
        </w:rPr>
        <w:t xml:space="preserve">nuestros jóvenes adultos. No hace sentido alguno que, para ciertos casos de interés, </w:t>
      </w:r>
      <w:r w:rsidR="00AE6E5E">
        <w:rPr>
          <w:rFonts w:ascii="Book Antiqua" w:hAnsi="Book Antiqua" w:cs="Times New Roman"/>
          <w:lang w:val="es-ES_tradnl"/>
        </w:rPr>
        <w:t>se considere</w:t>
      </w:r>
      <w:r w:rsidR="0035226A">
        <w:rPr>
          <w:rFonts w:ascii="Book Antiqua" w:hAnsi="Book Antiqua" w:cs="Times New Roman"/>
          <w:lang w:val="es-ES_tradnl"/>
        </w:rPr>
        <w:t xml:space="preserve"> a una persona mayor de edad a los dieciocho (18) años, pero bajo otros preceptos dicha presunción se establezca </w:t>
      </w:r>
      <w:r w:rsidR="00AE6E5E">
        <w:rPr>
          <w:rFonts w:ascii="Book Antiqua" w:hAnsi="Book Antiqua" w:cs="Times New Roman"/>
          <w:lang w:val="es-ES_tradnl"/>
        </w:rPr>
        <w:t>a los veintiunos</w:t>
      </w:r>
      <w:r w:rsidR="0035226A">
        <w:rPr>
          <w:rFonts w:ascii="Book Antiqua" w:hAnsi="Book Antiqua" w:cs="Times New Roman"/>
          <w:lang w:val="es-ES_tradnl"/>
        </w:rPr>
        <w:t xml:space="preserve"> (21). </w:t>
      </w:r>
    </w:p>
    <w:p w14:paraId="3AFBC2D2" w14:textId="711216C8" w:rsidR="00F40436" w:rsidRDefault="00F40436" w:rsidP="007B060F">
      <w:pPr>
        <w:spacing w:after="240" w:line="21" w:lineRule="atLeast"/>
        <w:ind w:firstLine="432"/>
        <w:jc w:val="both"/>
        <w:rPr>
          <w:rFonts w:ascii="Book Antiqua" w:hAnsi="Book Antiqua" w:cs="Times New Roman"/>
          <w:lang w:val="es-ES_tradnl"/>
        </w:rPr>
      </w:pPr>
      <w:r>
        <w:rPr>
          <w:rFonts w:ascii="Book Antiqua" w:hAnsi="Book Antiqua" w:cs="Times New Roman"/>
          <w:lang w:val="es-ES_tradnl"/>
        </w:rPr>
        <w:t xml:space="preserve">De hecho, esta misma Asamblea Legislativa </w:t>
      </w:r>
      <w:r w:rsidR="00495FF2">
        <w:rPr>
          <w:rFonts w:ascii="Book Antiqua" w:hAnsi="Book Antiqua" w:cs="Times New Roman"/>
          <w:lang w:val="es-ES_tradnl"/>
        </w:rPr>
        <w:t xml:space="preserve">redujo </w:t>
      </w:r>
      <w:r>
        <w:rPr>
          <w:rFonts w:ascii="Book Antiqua" w:hAnsi="Book Antiqua" w:cs="Times New Roman"/>
          <w:lang w:val="es-ES_tradnl"/>
        </w:rPr>
        <w:t>la mayoridad</w:t>
      </w:r>
      <w:r w:rsidR="008701D6">
        <w:rPr>
          <w:rFonts w:ascii="Book Antiqua" w:hAnsi="Book Antiqua" w:cs="Times New Roman"/>
          <w:lang w:val="es-ES_tradnl"/>
        </w:rPr>
        <w:t xml:space="preserve"> para diversos asuntos y trámites cotidianos</w:t>
      </w:r>
      <w:r>
        <w:rPr>
          <w:rFonts w:ascii="Book Antiqua" w:hAnsi="Book Antiqua" w:cs="Times New Roman"/>
          <w:lang w:val="es-ES_tradnl"/>
        </w:rPr>
        <w:t xml:space="preserve">. Entre estos, </w:t>
      </w:r>
      <w:r w:rsidR="0096250F">
        <w:rPr>
          <w:rFonts w:ascii="Book Antiqua" w:hAnsi="Book Antiqua" w:cs="Times New Roman"/>
          <w:lang w:val="es-ES_tradnl"/>
        </w:rPr>
        <w:t>la Ley</w:t>
      </w:r>
      <w:r w:rsidR="006310C8">
        <w:rPr>
          <w:rFonts w:ascii="Book Antiqua" w:hAnsi="Book Antiqua" w:cs="Times New Roman"/>
          <w:lang w:val="es-ES_tradnl"/>
        </w:rPr>
        <w:t xml:space="preserve"> 100-2023 </w:t>
      </w:r>
      <w:r w:rsidR="008701D6">
        <w:rPr>
          <w:rFonts w:ascii="Book Antiqua" w:hAnsi="Book Antiqua" w:cs="Times New Roman"/>
          <w:lang w:val="es-ES_tradnl"/>
        </w:rPr>
        <w:t>redujo</w:t>
      </w:r>
      <w:r w:rsidR="000035C6">
        <w:rPr>
          <w:rFonts w:ascii="Book Antiqua" w:hAnsi="Book Antiqua" w:cs="Times New Roman"/>
          <w:lang w:val="es-ES_tradnl"/>
        </w:rPr>
        <w:t xml:space="preserve"> a los dieciocho (18) años la edad mínima requerida para</w:t>
      </w:r>
      <w:r w:rsidR="0099790D">
        <w:rPr>
          <w:rFonts w:ascii="Book Antiqua" w:hAnsi="Book Antiqua" w:cs="Times New Roman"/>
          <w:lang w:val="es-ES_tradnl"/>
        </w:rPr>
        <w:t xml:space="preserve"> que se expida una licencia de armas para integrantes de la Policía Municipal</w:t>
      </w:r>
      <w:r w:rsidR="006310C8">
        <w:rPr>
          <w:rFonts w:ascii="Book Antiqua" w:hAnsi="Book Antiqua" w:cs="Times New Roman"/>
          <w:lang w:val="es-ES_tradnl"/>
        </w:rPr>
        <w:t xml:space="preserve"> y Estatal</w:t>
      </w:r>
      <w:r w:rsidR="00CC0120">
        <w:rPr>
          <w:rFonts w:ascii="Book Antiqua" w:hAnsi="Book Antiqua" w:cs="Times New Roman"/>
          <w:lang w:val="es-ES_tradnl"/>
        </w:rPr>
        <w:t>, siendo respuesta a una enmienda anterior que ahora también permite que se recluten agentes del orden público menores de 21 años</w:t>
      </w:r>
      <w:r w:rsidR="0099790D">
        <w:rPr>
          <w:rFonts w:ascii="Book Antiqua" w:hAnsi="Book Antiqua" w:cs="Times New Roman"/>
          <w:lang w:val="es-ES_tradnl"/>
        </w:rPr>
        <w:t xml:space="preserve">; </w:t>
      </w:r>
      <w:r w:rsidR="006310C8">
        <w:rPr>
          <w:rFonts w:ascii="Book Antiqua" w:hAnsi="Book Antiqua" w:cs="Times New Roman"/>
          <w:lang w:val="es-ES_tradnl"/>
        </w:rPr>
        <w:t xml:space="preserve">la </w:t>
      </w:r>
      <w:r w:rsidR="0099790D">
        <w:rPr>
          <w:rFonts w:ascii="Book Antiqua" w:hAnsi="Book Antiqua" w:cs="Times New Roman"/>
          <w:lang w:val="es-ES_tradnl"/>
        </w:rPr>
        <w:t xml:space="preserve">Ley 58-2021 para que </w:t>
      </w:r>
      <w:r w:rsidR="009C2BF4">
        <w:rPr>
          <w:rFonts w:ascii="Book Antiqua" w:hAnsi="Book Antiqua" w:cs="Times New Roman"/>
          <w:lang w:val="es-ES_tradnl"/>
        </w:rPr>
        <w:t xml:space="preserve">jóvenes a partir de los dieciocho (18) años puedan ser admitidos como socios en las cooperativas de tipos diversos; </w:t>
      </w:r>
      <w:r w:rsidR="00644378">
        <w:rPr>
          <w:rFonts w:ascii="Book Antiqua" w:hAnsi="Book Antiqua" w:cs="Times New Roman"/>
          <w:lang w:val="es-ES_tradnl"/>
        </w:rPr>
        <w:t xml:space="preserve">el P. de la C. 1749 </w:t>
      </w:r>
      <w:r w:rsidR="00495FF2">
        <w:rPr>
          <w:rFonts w:ascii="Book Antiqua" w:hAnsi="Book Antiqua" w:cs="Times New Roman"/>
          <w:lang w:val="es-ES_tradnl"/>
        </w:rPr>
        <w:t xml:space="preserve">(aprobado en Cámara y Senado) </w:t>
      </w:r>
      <w:r w:rsidR="00CC0120">
        <w:rPr>
          <w:rFonts w:ascii="Book Antiqua" w:hAnsi="Book Antiqua" w:cs="Times New Roman"/>
          <w:lang w:val="es-ES_tradnl"/>
        </w:rPr>
        <w:t xml:space="preserve">que autoriza </w:t>
      </w:r>
      <w:r w:rsidR="00644378">
        <w:rPr>
          <w:rFonts w:ascii="Book Antiqua" w:hAnsi="Book Antiqua" w:cs="Times New Roman"/>
          <w:lang w:val="es-ES_tradnl"/>
        </w:rPr>
        <w:t xml:space="preserve">a jóvenes de 18 a 20 años a solicitar y utilizar servicios financieros y de crédito </w:t>
      </w:r>
      <w:r w:rsidR="00495FF2">
        <w:rPr>
          <w:rFonts w:ascii="Book Antiqua" w:hAnsi="Book Antiqua" w:cs="Times New Roman"/>
          <w:lang w:val="es-ES_tradnl"/>
        </w:rPr>
        <w:t xml:space="preserve">ofrecidos por bancos comerciales en Puerto Rico; y </w:t>
      </w:r>
      <w:r w:rsidR="00656BEC">
        <w:rPr>
          <w:rFonts w:ascii="Book Antiqua" w:hAnsi="Book Antiqua" w:cs="Times New Roman"/>
          <w:lang w:val="es-ES_tradnl"/>
        </w:rPr>
        <w:t xml:space="preserve">el P. del S. 506 (aprobado en Cámara y Senado) que permitiría </w:t>
      </w:r>
      <w:r w:rsidR="00820499">
        <w:rPr>
          <w:rFonts w:ascii="Book Antiqua" w:hAnsi="Book Antiqua" w:cs="Times New Roman"/>
          <w:lang w:val="es-ES_tradnl"/>
        </w:rPr>
        <w:t xml:space="preserve">a jóvenes </w:t>
      </w:r>
      <w:r w:rsidR="00CC0120">
        <w:rPr>
          <w:rFonts w:ascii="Book Antiqua" w:hAnsi="Book Antiqua" w:cs="Times New Roman"/>
          <w:lang w:val="es-ES_tradnl"/>
        </w:rPr>
        <w:t>a partir de los</w:t>
      </w:r>
      <w:r w:rsidR="00820499">
        <w:rPr>
          <w:rFonts w:ascii="Book Antiqua" w:hAnsi="Book Antiqua" w:cs="Times New Roman"/>
          <w:lang w:val="es-ES_tradnl"/>
        </w:rPr>
        <w:t xml:space="preserve"> 18 años </w:t>
      </w:r>
      <w:r w:rsidR="00CC0120">
        <w:rPr>
          <w:rFonts w:ascii="Book Antiqua" w:hAnsi="Book Antiqua" w:cs="Times New Roman"/>
          <w:lang w:val="es-ES_tradnl"/>
        </w:rPr>
        <w:t xml:space="preserve">a </w:t>
      </w:r>
      <w:r w:rsidR="00820499">
        <w:rPr>
          <w:rFonts w:ascii="Book Antiqua" w:hAnsi="Book Antiqua" w:cs="Times New Roman"/>
          <w:lang w:val="es-ES_tradnl"/>
        </w:rPr>
        <w:t>recibir servicios médicos sin el requerimiento de estar acompañados y/o autorizados por sus padres, tutores o encargados</w:t>
      </w:r>
      <w:r w:rsidR="00495FF2">
        <w:rPr>
          <w:rFonts w:ascii="Book Antiqua" w:hAnsi="Book Antiqua" w:cs="Times New Roman"/>
          <w:lang w:val="es-ES_tradnl"/>
        </w:rPr>
        <w:t>; entre muchos otros</w:t>
      </w:r>
      <w:r w:rsidR="00820499">
        <w:rPr>
          <w:rFonts w:ascii="Book Antiqua" w:hAnsi="Book Antiqua" w:cs="Times New Roman"/>
          <w:lang w:val="es-ES_tradnl"/>
        </w:rPr>
        <w:t xml:space="preserve">. </w:t>
      </w:r>
    </w:p>
    <w:p w14:paraId="66392599" w14:textId="77777777" w:rsidR="00CC0120" w:rsidRPr="00982C22" w:rsidRDefault="00CC0120" w:rsidP="007B060F">
      <w:pPr>
        <w:spacing w:after="240" w:line="21" w:lineRule="atLeast"/>
        <w:ind w:firstLine="432"/>
        <w:jc w:val="both"/>
        <w:rPr>
          <w:rFonts w:ascii="Book Antiqua" w:hAnsi="Book Antiqua" w:cs="Times New Roman"/>
          <w:lang w:val="es-ES_tradnl"/>
        </w:rPr>
      </w:pPr>
    </w:p>
    <w:p w14:paraId="71187872" w14:textId="77777777" w:rsidR="00D2010E" w:rsidRPr="00D2010E" w:rsidRDefault="00D2010E" w:rsidP="007B060F">
      <w:pPr>
        <w:keepNext/>
        <w:spacing w:after="240" w:line="21" w:lineRule="atLeast"/>
        <w:jc w:val="center"/>
        <w:outlineLvl w:val="0"/>
        <w:rPr>
          <w:rFonts w:ascii="Book Antiqua" w:eastAsia="Times New Roman" w:hAnsi="Book Antiqua" w:cs="Times New Roman"/>
          <w:b/>
          <w:kern w:val="28"/>
          <w:szCs w:val="20"/>
          <w:u w:val="single"/>
          <w:lang w:val="es-ES_tradnl"/>
          <w14:ligatures w14:val="none"/>
        </w:rPr>
      </w:pPr>
      <w:r w:rsidRPr="00D2010E">
        <w:rPr>
          <w:rFonts w:ascii="Book Antiqua" w:eastAsia="Times New Roman" w:hAnsi="Book Antiqua" w:cs="Times New Roman"/>
          <w:b/>
          <w:kern w:val="28"/>
          <w:szCs w:val="20"/>
          <w:u w:val="single"/>
          <w:lang w:val="es-ES_tradnl"/>
          <w14:ligatures w14:val="none"/>
        </w:rPr>
        <w:lastRenderedPageBreak/>
        <w:t>RESUMEN DE COMENTARIOS</w:t>
      </w:r>
    </w:p>
    <w:p w14:paraId="52D19377" w14:textId="77777777" w:rsidR="00D2010E" w:rsidRPr="00412449" w:rsidRDefault="00D2010E" w:rsidP="007B060F">
      <w:pPr>
        <w:numPr>
          <w:ilvl w:val="0"/>
          <w:numId w:val="1"/>
        </w:numPr>
        <w:spacing w:after="240" w:line="21" w:lineRule="atLeast"/>
        <w:jc w:val="both"/>
        <w:rPr>
          <w:rFonts w:ascii="Book Antiqua" w:hAnsi="Book Antiqua"/>
          <w:b/>
          <w:bCs/>
          <w:u w:val="single"/>
          <w:lang w:val="es-ES_tradnl"/>
        </w:rPr>
      </w:pPr>
      <w:r w:rsidRPr="00412449">
        <w:rPr>
          <w:rFonts w:ascii="Book Antiqua" w:hAnsi="Book Antiqua"/>
          <w:b/>
          <w:bCs/>
          <w:u w:val="single"/>
          <w:lang w:val="es-ES_tradnl"/>
        </w:rPr>
        <w:t>Departamento de la Familia</w:t>
      </w:r>
    </w:p>
    <w:p w14:paraId="4D13255B" w14:textId="0E7A5D6C" w:rsidR="00D2010E" w:rsidRPr="00D2010E" w:rsidRDefault="00D2010E" w:rsidP="007B060F">
      <w:pPr>
        <w:spacing w:after="240" w:line="21" w:lineRule="atLeast"/>
        <w:ind w:firstLine="360"/>
        <w:jc w:val="both"/>
        <w:rPr>
          <w:rFonts w:ascii="Book Antiqua" w:hAnsi="Book Antiqua"/>
          <w:lang w:val="es-ES_tradnl"/>
        </w:rPr>
      </w:pPr>
      <w:r w:rsidRPr="00D2010E">
        <w:rPr>
          <w:rFonts w:ascii="Book Antiqua" w:hAnsi="Book Antiqua"/>
          <w:lang w:val="es-ES_tradnl"/>
        </w:rPr>
        <w:t xml:space="preserve">Para la </w:t>
      </w:r>
      <w:r w:rsidR="00412449" w:rsidRPr="00D2010E">
        <w:rPr>
          <w:rFonts w:ascii="Book Antiqua" w:hAnsi="Book Antiqua"/>
          <w:lang w:val="es-ES_tradnl"/>
        </w:rPr>
        <w:t>secretaria</w:t>
      </w:r>
      <w:r w:rsidRPr="00D2010E">
        <w:rPr>
          <w:rFonts w:ascii="Book Antiqua" w:hAnsi="Book Antiqua"/>
          <w:lang w:val="es-ES_tradnl"/>
        </w:rPr>
        <w:t xml:space="preserve"> de la Familia, Ciení Rodríguez Troche, la aprobación del P. del S. 920 pudiera incidir adversamente en varios componentes y/o programas del Departamento. En su ponencia, </w:t>
      </w:r>
      <w:r w:rsidR="00412449">
        <w:rPr>
          <w:rFonts w:ascii="Book Antiqua" w:hAnsi="Book Antiqua"/>
          <w:lang w:val="es-ES_tradnl"/>
        </w:rPr>
        <w:t>comentó</w:t>
      </w:r>
      <w:r w:rsidRPr="00D2010E">
        <w:rPr>
          <w:rFonts w:ascii="Book Antiqua" w:hAnsi="Book Antiqua"/>
          <w:lang w:val="es-ES_tradnl"/>
        </w:rPr>
        <w:t xml:space="preserve"> que reducir la mayoría de edad a los 18 años podría impactar negativamente programas administrados por la Administración de Familias y Niños (ADFAN) y la Administración para el Sustento de Menores (ASUME), bajo la jurisdicción del Departamento. Primeramente, y según suscrito por la ADFAN, el cambio en la mayoridad de edad pudiera tener un impacto adverso sobre los programas que dicha institución ofrece, tales como el Servicio de Vida Independiente, bajo el cual participan sobre 231 jóvenes, entre los 18 y 21 años. Dicha cifra se divide, respectivamente, </w:t>
      </w:r>
      <w:r w:rsidR="00FF0B63">
        <w:rPr>
          <w:rFonts w:ascii="Book Antiqua" w:hAnsi="Book Antiqua"/>
          <w:lang w:val="es-ES_tradnl"/>
        </w:rPr>
        <w:t>en</w:t>
      </w:r>
      <w:r w:rsidRPr="00D2010E">
        <w:rPr>
          <w:rFonts w:ascii="Book Antiqua" w:hAnsi="Book Antiqua"/>
          <w:lang w:val="es-ES_tradnl"/>
        </w:rPr>
        <w:t xml:space="preserve"> 135 féminas y 96 varones. </w:t>
      </w:r>
      <w:r w:rsidR="00FF0B63">
        <w:rPr>
          <w:rFonts w:ascii="Book Antiqua" w:hAnsi="Book Antiqua"/>
          <w:lang w:val="es-ES_tradnl"/>
        </w:rPr>
        <w:t xml:space="preserve">En </w:t>
      </w:r>
      <w:r w:rsidRPr="00D2010E">
        <w:rPr>
          <w:rFonts w:ascii="Book Antiqua" w:hAnsi="Book Antiqua"/>
          <w:lang w:val="es-ES_tradnl"/>
        </w:rPr>
        <w:t>este programa, el Departamento ofrece servicio de hospedaje, apartamento y “</w:t>
      </w:r>
      <w:r w:rsidRPr="00D2010E">
        <w:rPr>
          <w:rFonts w:ascii="Book Antiqua" w:hAnsi="Book Antiqua"/>
          <w:i/>
          <w:iCs/>
          <w:lang w:val="es-ES_tradnl"/>
        </w:rPr>
        <w:t>vouchers</w:t>
      </w:r>
      <w:r w:rsidRPr="00D2010E">
        <w:rPr>
          <w:rFonts w:ascii="Book Antiqua" w:hAnsi="Book Antiqua"/>
          <w:lang w:val="es-ES_tradnl"/>
        </w:rPr>
        <w:t>” de educación y formación, y sobre lo cual se comentó lo siguiente:</w:t>
      </w:r>
    </w:p>
    <w:p w14:paraId="728CE7D3" w14:textId="059E89F5" w:rsidR="00D2010E" w:rsidRPr="00D2010E" w:rsidRDefault="00D2010E" w:rsidP="007B060F">
      <w:pPr>
        <w:spacing w:after="240" w:line="21" w:lineRule="atLeast"/>
        <w:ind w:left="1008" w:right="1008"/>
        <w:jc w:val="both"/>
        <w:rPr>
          <w:rFonts w:ascii="Book Antiqua" w:hAnsi="Book Antiqua"/>
          <w:lang w:val="es-ES_tradnl"/>
        </w:rPr>
      </w:pPr>
      <w:r w:rsidRPr="00D2010E">
        <w:rPr>
          <w:rFonts w:ascii="Book Antiqua" w:hAnsi="Book Antiqua"/>
          <w:lang w:val="es-ES_tradnl"/>
        </w:rPr>
        <w:t>La ADFAN entiende que los cambios propuestos por el Proyecto pueden tener el efecto de que los servicios no puedan ofrecerse posterior a cumplirse los dieciocho (18) años, pues la custodia legal asignada por el Tribunal no podría continuar hasta los veintiún (21) años. Esto último causaría un disloque para esta clientela de la ADFAN, pues la otra alternativa para tener vivienda segura e independiente sería a través del Departamento de la Vivienda, que a su vez no ofrece vivienda pública a menores de veintiún (21) años.</w:t>
      </w:r>
      <w:r w:rsidRPr="00D2010E">
        <w:rPr>
          <w:rFonts w:ascii="Book Antiqua" w:hAnsi="Book Antiqua"/>
          <w:vertAlign w:val="superscript"/>
          <w:lang w:val="es-ES_tradnl"/>
        </w:rPr>
        <w:footnoteReference w:id="13"/>
      </w:r>
    </w:p>
    <w:p w14:paraId="51E6EDAA" w14:textId="77777777" w:rsidR="009E7D33" w:rsidRDefault="00D2010E" w:rsidP="007B060F">
      <w:pPr>
        <w:spacing w:after="240" w:line="21" w:lineRule="atLeast"/>
        <w:ind w:firstLine="360"/>
        <w:jc w:val="both"/>
        <w:rPr>
          <w:rFonts w:ascii="Book Antiqua" w:hAnsi="Book Antiqua"/>
          <w:lang w:val="es-ES_tradnl"/>
        </w:rPr>
      </w:pPr>
      <w:r w:rsidRPr="00D2010E">
        <w:rPr>
          <w:rFonts w:ascii="Book Antiqua" w:hAnsi="Book Antiqua"/>
          <w:lang w:val="es-ES_tradnl"/>
        </w:rPr>
        <w:tab/>
        <w:t xml:space="preserve">Por otro lado, </w:t>
      </w:r>
      <w:r w:rsidR="00105DF0">
        <w:rPr>
          <w:rFonts w:ascii="Book Antiqua" w:hAnsi="Book Antiqua"/>
          <w:lang w:val="es-ES_tradnl"/>
        </w:rPr>
        <w:t>la Secretaria</w:t>
      </w:r>
      <w:r w:rsidRPr="00D2010E">
        <w:rPr>
          <w:rFonts w:ascii="Book Antiqua" w:hAnsi="Book Antiqua"/>
          <w:lang w:val="es-ES_tradnl"/>
        </w:rPr>
        <w:t xml:space="preserve"> expresó preocupación sobre el sustento económico de los menores, derecho que podría quedar rezagado con el establecimiento de la nueva mayoría de edad. Sobre esto, se nos comenta que “ la eliminación de la pensión alimentaria a los jóvenes de entre dieciocho (18) y veintiún (21) años podría dejar desprovista de recursos a una población con una alta tasa de desempleo, que se encuentra en proceso de formación social y económica, y que requiere ser encaminada para su desarrollo”.</w:t>
      </w:r>
      <w:r w:rsidRPr="00D2010E">
        <w:rPr>
          <w:rFonts w:ascii="Book Antiqua" w:hAnsi="Book Antiqua"/>
          <w:vertAlign w:val="superscript"/>
          <w:lang w:val="es-ES_tradnl"/>
        </w:rPr>
        <w:footnoteReference w:id="14"/>
      </w:r>
      <w:r w:rsidRPr="00D2010E">
        <w:rPr>
          <w:rFonts w:ascii="Book Antiqua" w:hAnsi="Book Antiqua"/>
          <w:lang w:val="es-ES_tradnl"/>
        </w:rPr>
        <w:t xml:space="preserve"> Lo anterior, según expresado, propiciaría que estos jóvenes, ahora adultos, tengan que demandar a sus padres ante el Tribunal para beneficiarse nuevamente del derecho de manutención, lo cual, sin duda, les colocaría en una posición vulnerable y de posibles gastos económicos y de representación legal excesivos. </w:t>
      </w:r>
    </w:p>
    <w:p w14:paraId="22A68CB4" w14:textId="490FB73E" w:rsidR="00D2010E" w:rsidRPr="00D2010E" w:rsidRDefault="00D2010E" w:rsidP="007B060F">
      <w:pPr>
        <w:spacing w:after="240" w:line="21" w:lineRule="atLeast"/>
        <w:ind w:firstLine="360"/>
        <w:jc w:val="both"/>
        <w:rPr>
          <w:rFonts w:ascii="Book Antiqua" w:hAnsi="Book Antiqua"/>
          <w:lang w:val="es-ES_tradnl"/>
        </w:rPr>
      </w:pPr>
      <w:r w:rsidRPr="00D2010E">
        <w:rPr>
          <w:rFonts w:ascii="Book Antiqua" w:hAnsi="Book Antiqua"/>
          <w:lang w:val="es-ES_tradnl"/>
        </w:rPr>
        <w:t xml:space="preserve">No obstante, </w:t>
      </w:r>
      <w:r w:rsidR="009E7D33">
        <w:rPr>
          <w:rFonts w:ascii="Book Antiqua" w:hAnsi="Book Antiqua"/>
          <w:lang w:val="es-ES_tradnl"/>
        </w:rPr>
        <w:t>reconocen</w:t>
      </w:r>
      <w:r w:rsidRPr="00D2010E">
        <w:rPr>
          <w:rFonts w:ascii="Book Antiqua" w:hAnsi="Book Antiqua"/>
          <w:lang w:val="es-ES_tradnl"/>
        </w:rPr>
        <w:t xml:space="preserve"> la importancia de la Cláusula Transitoria, según propuesta en el Artículo 21 del Proyecto, pues amortiguaría el cambio para aquellas personas entre 18 y 20 años que, al momento de la aprobación de esta medida, sean acreedores de algún </w:t>
      </w:r>
      <w:r w:rsidRPr="00D2010E">
        <w:rPr>
          <w:rFonts w:ascii="Book Antiqua" w:hAnsi="Book Antiqua"/>
          <w:lang w:val="es-ES_tradnl"/>
        </w:rPr>
        <w:lastRenderedPageBreak/>
        <w:t xml:space="preserve">derecho, obligación, protección o beneficio al amparo del Código Civil o Ley Especial aplicable. </w:t>
      </w:r>
    </w:p>
    <w:p w14:paraId="6A70A364" w14:textId="3441900B" w:rsidR="00D2010E" w:rsidRPr="00D2010E" w:rsidRDefault="00D2010E" w:rsidP="007B060F">
      <w:pPr>
        <w:spacing w:after="240" w:line="21" w:lineRule="atLeast"/>
        <w:ind w:firstLine="360"/>
        <w:jc w:val="both"/>
        <w:rPr>
          <w:rFonts w:ascii="Book Antiqua" w:hAnsi="Book Antiqua"/>
          <w:lang w:val="es-ES_tradnl"/>
        </w:rPr>
      </w:pPr>
      <w:r w:rsidRPr="00D2010E">
        <w:rPr>
          <w:rFonts w:ascii="Book Antiqua" w:hAnsi="Book Antiqua"/>
          <w:lang w:val="es-ES_tradnl"/>
        </w:rPr>
        <w:t>Debe señalarse, además, que la ASUME cuenta actualmente con 37,613 casos activos de alimentos de menores, entre las edades de 18 y 2</w:t>
      </w:r>
      <w:r w:rsidR="00EE5FCE">
        <w:rPr>
          <w:rFonts w:ascii="Book Antiqua" w:hAnsi="Book Antiqua"/>
          <w:lang w:val="es-ES_tradnl"/>
        </w:rPr>
        <w:t>1</w:t>
      </w:r>
      <w:r w:rsidRPr="00D2010E">
        <w:rPr>
          <w:rFonts w:ascii="Book Antiqua" w:hAnsi="Book Antiqua"/>
          <w:lang w:val="es-ES_tradnl"/>
        </w:rPr>
        <w:t xml:space="preserve"> años.</w:t>
      </w:r>
      <w:r w:rsidRPr="00D2010E">
        <w:rPr>
          <w:rFonts w:ascii="Book Antiqua" w:hAnsi="Book Antiqua"/>
          <w:vertAlign w:val="superscript"/>
          <w:lang w:val="es-ES_tradnl"/>
        </w:rPr>
        <w:footnoteReference w:id="15"/>
      </w:r>
      <w:r w:rsidRPr="00D2010E">
        <w:rPr>
          <w:rFonts w:ascii="Book Antiqua" w:hAnsi="Book Antiqua"/>
          <w:lang w:val="es-ES_tradnl"/>
        </w:rPr>
        <w:t xml:space="preserve"> El Departamento proveyó una tabla del total de jóvenes que, según comentado, quedarían potencialmente sujetos a la propuesta Cláusula Transitoria. Esta se hace constar a continuación:</w:t>
      </w:r>
    </w:p>
    <w:p w14:paraId="7E391089" w14:textId="77777777" w:rsidR="00D2010E" w:rsidRPr="00D2010E" w:rsidRDefault="00D2010E" w:rsidP="007B060F">
      <w:pPr>
        <w:spacing w:after="120" w:line="21" w:lineRule="atLeast"/>
        <w:jc w:val="center"/>
        <w:rPr>
          <w:rFonts w:ascii="Book Antiqua" w:hAnsi="Book Antiqua"/>
          <w:lang w:val="es-ES_tradnl"/>
        </w:rPr>
      </w:pPr>
      <w:r w:rsidRPr="00D2010E">
        <w:rPr>
          <w:rFonts w:ascii="Book Antiqua" w:hAnsi="Book Antiqua"/>
          <w:noProof/>
          <w:lang w:val="es-ES_tradnl"/>
        </w:rPr>
        <w:drawing>
          <wp:inline distT="0" distB="0" distL="0" distR="0" wp14:anchorId="1BCE3FCB" wp14:editId="2584AE99">
            <wp:extent cx="4805946" cy="3316931"/>
            <wp:effectExtent l="0" t="0" r="0" b="0"/>
            <wp:docPr id="380109715"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09715" name="Picture 1" descr="Text&#10;&#10;Description automatically generated with medium confidence"/>
                    <pic:cNvPicPr/>
                  </pic:nvPicPr>
                  <pic:blipFill rotWithShape="1">
                    <a:blip r:embed="rId8">
                      <a:extLst>
                        <a:ext uri="{28A0092B-C50C-407E-A947-70E740481C1C}">
                          <a14:useLocalDpi xmlns:a14="http://schemas.microsoft.com/office/drawing/2010/main" val="0"/>
                        </a:ext>
                      </a:extLst>
                    </a:blip>
                    <a:srcRect l="30413" t="30238" r="30427" b="21714"/>
                    <a:stretch/>
                  </pic:blipFill>
                  <pic:spPr bwMode="auto">
                    <a:xfrm>
                      <a:off x="0" y="0"/>
                      <a:ext cx="4906150" cy="3386089"/>
                    </a:xfrm>
                    <a:prstGeom prst="rect">
                      <a:avLst/>
                    </a:prstGeom>
                    <a:ln>
                      <a:noFill/>
                    </a:ln>
                    <a:extLst>
                      <a:ext uri="{53640926-AAD7-44D8-BBD7-CCE9431645EC}">
                        <a14:shadowObscured xmlns:a14="http://schemas.microsoft.com/office/drawing/2010/main"/>
                      </a:ext>
                    </a:extLst>
                  </pic:spPr>
                </pic:pic>
              </a:graphicData>
            </a:graphic>
          </wp:inline>
        </w:drawing>
      </w:r>
    </w:p>
    <w:p w14:paraId="39E88559" w14:textId="6B41AB66" w:rsidR="00A768AD" w:rsidRPr="00A768AD" w:rsidRDefault="00A2012A" w:rsidP="007B060F">
      <w:pPr>
        <w:spacing w:before="240" w:after="240" w:line="21" w:lineRule="atLeast"/>
        <w:ind w:firstLine="360"/>
        <w:jc w:val="both"/>
        <w:rPr>
          <w:rFonts w:ascii="Book Antiqua" w:hAnsi="Book Antiqua"/>
          <w:lang w:val="es-ES_tradnl"/>
        </w:rPr>
      </w:pPr>
      <w:r>
        <w:rPr>
          <w:rFonts w:ascii="Book Antiqua" w:hAnsi="Book Antiqua"/>
          <w:lang w:val="es-ES_tradnl"/>
        </w:rPr>
        <w:t xml:space="preserve">Específicamente, la Secretaria comentó </w:t>
      </w:r>
      <w:r w:rsidR="00A768AD" w:rsidRPr="00A768AD">
        <w:rPr>
          <w:rFonts w:ascii="Book Antiqua" w:hAnsi="Book Antiqua"/>
          <w:lang w:val="es-ES_tradnl"/>
        </w:rPr>
        <w:t>que “la cláusula transitoria no necesariamente protegería a aquellos menores que aún no han cumplido los dieciocho (18) años, pero que se benefician de alimentos provistos por las personas responsables de estos”.</w:t>
      </w:r>
      <w:r w:rsidR="00A768AD" w:rsidRPr="00A768AD">
        <w:rPr>
          <w:rFonts w:ascii="Book Antiqua" w:hAnsi="Book Antiqua"/>
          <w:vertAlign w:val="superscript"/>
          <w:lang w:val="es-ES_tradnl"/>
        </w:rPr>
        <w:footnoteReference w:id="16"/>
      </w:r>
      <w:r w:rsidR="00A768AD" w:rsidRPr="00A768AD">
        <w:rPr>
          <w:rFonts w:ascii="Book Antiqua" w:hAnsi="Book Antiqua"/>
          <w:lang w:val="es-ES_tradnl"/>
        </w:rPr>
        <w:t xml:space="preserve"> De la misma forma, el Departamento también mostró reparos con la Cláusula de </w:t>
      </w:r>
      <w:r w:rsidR="0054302F">
        <w:rPr>
          <w:rFonts w:ascii="Book Antiqua" w:hAnsi="Book Antiqua"/>
          <w:lang w:val="es-ES_tradnl"/>
        </w:rPr>
        <w:t>Supremacía</w:t>
      </w:r>
      <w:r w:rsidR="00A768AD" w:rsidRPr="00A768AD">
        <w:rPr>
          <w:rFonts w:ascii="Book Antiqua" w:hAnsi="Book Antiqua"/>
          <w:lang w:val="es-ES_tradnl"/>
        </w:rPr>
        <w:t>, según contenida en el propuesto Artículo 22 del Proyecto, puesto que, de entrar en controversia con alguna otra ley, han de quedar supeditadas las disposiciones de este estatuto. Sobre esto, fue comentado que “dicha cláusula de supremacía podría interpretarse como que enmienda de jure toda ley especial que defina la mayoría de edad de una manera distinta a lo establecido en el Proyecto. Esto puede tener consecuencias imprevistas e inesperadas en el estado del derecho en Puerto Rico</w:t>
      </w:r>
      <w:r w:rsidR="00A768AD" w:rsidRPr="00DE2028">
        <w:rPr>
          <w:rFonts w:ascii="Book Antiqua" w:hAnsi="Book Antiqua"/>
          <w:lang w:val="es-PR"/>
        </w:rPr>
        <w:t>”.</w:t>
      </w:r>
      <w:r w:rsidR="00A768AD" w:rsidRPr="00A768AD">
        <w:rPr>
          <w:rFonts w:ascii="Book Antiqua" w:hAnsi="Book Antiqua"/>
          <w:vertAlign w:val="superscript"/>
        </w:rPr>
        <w:footnoteReference w:id="17"/>
      </w:r>
      <w:r w:rsidR="00A768AD" w:rsidRPr="00DE2028">
        <w:rPr>
          <w:rFonts w:ascii="Book Antiqua" w:hAnsi="Book Antiqua"/>
          <w:lang w:val="es-PR"/>
        </w:rPr>
        <w:t xml:space="preserve"> </w:t>
      </w:r>
      <w:r w:rsidR="00A768AD" w:rsidRPr="00A768AD">
        <w:rPr>
          <w:rFonts w:ascii="Book Antiqua" w:hAnsi="Book Antiqua"/>
          <w:lang w:val="es-ES_tradnl"/>
        </w:rPr>
        <w:t xml:space="preserve">Por ello, la Secretaria de Familia recomendó que el tema bajo estudio debe analizarse e investigarse cabalmente, y que el análisis sobre esta medida legislativa debe recaer —o delegarse— a </w:t>
      </w:r>
      <w:r w:rsidR="00A768AD" w:rsidRPr="00A768AD">
        <w:rPr>
          <w:rFonts w:ascii="Book Antiqua" w:hAnsi="Book Antiqua"/>
          <w:lang w:val="es-ES_tradnl"/>
        </w:rPr>
        <w:lastRenderedPageBreak/>
        <w:t>la Comisión Conjunta Permanente para la Revisión y Reforma del Código Civil de Puerto Rico, según realizado en años anteriores.</w:t>
      </w:r>
    </w:p>
    <w:p w14:paraId="28506839" w14:textId="77777777" w:rsidR="00A768AD" w:rsidRPr="00FC46A0" w:rsidRDefault="00A768AD" w:rsidP="007B060F">
      <w:pPr>
        <w:numPr>
          <w:ilvl w:val="0"/>
          <w:numId w:val="1"/>
        </w:numPr>
        <w:spacing w:after="240" w:line="21" w:lineRule="atLeast"/>
        <w:jc w:val="both"/>
        <w:rPr>
          <w:rFonts w:ascii="Book Antiqua" w:hAnsi="Book Antiqua"/>
          <w:b/>
          <w:bCs/>
          <w:u w:val="single"/>
          <w:lang w:val="es-ES_tradnl"/>
        </w:rPr>
      </w:pPr>
      <w:r w:rsidRPr="00FC46A0">
        <w:rPr>
          <w:rFonts w:ascii="Book Antiqua" w:hAnsi="Book Antiqua"/>
          <w:b/>
          <w:bCs/>
          <w:u w:val="single"/>
          <w:lang w:val="es-ES_tradnl"/>
        </w:rPr>
        <w:t>Departamento de Justicia</w:t>
      </w:r>
    </w:p>
    <w:p w14:paraId="2FBB11B9" w14:textId="14D0C487" w:rsidR="00A768AD" w:rsidRPr="00A768AD" w:rsidRDefault="00FC46A0" w:rsidP="007B060F">
      <w:pPr>
        <w:spacing w:after="240" w:line="21" w:lineRule="atLeast"/>
        <w:ind w:firstLine="360"/>
        <w:jc w:val="both"/>
        <w:rPr>
          <w:rFonts w:ascii="Book Antiqua" w:hAnsi="Book Antiqua"/>
          <w:lang w:val="es-ES_tradnl"/>
        </w:rPr>
      </w:pPr>
      <w:r>
        <w:rPr>
          <w:rFonts w:ascii="Book Antiqua" w:hAnsi="Book Antiqua"/>
          <w:lang w:val="es-ES_tradnl"/>
        </w:rPr>
        <w:t xml:space="preserve">En un </w:t>
      </w:r>
      <w:r w:rsidR="00A768AD" w:rsidRPr="00A768AD">
        <w:rPr>
          <w:rFonts w:ascii="Book Antiqua" w:hAnsi="Book Antiqua"/>
          <w:lang w:val="es-ES_tradnl"/>
        </w:rPr>
        <w:t xml:space="preserve">extenso Memorial Explicativo, el Hon. Domingo Emanuelli Hernández, </w:t>
      </w:r>
      <w:r>
        <w:rPr>
          <w:rFonts w:ascii="Book Antiqua" w:hAnsi="Book Antiqua"/>
          <w:lang w:val="es-ES_tradnl"/>
        </w:rPr>
        <w:t>expresó</w:t>
      </w:r>
      <w:r w:rsidR="00A768AD" w:rsidRPr="00A768AD">
        <w:rPr>
          <w:rFonts w:ascii="Book Antiqua" w:hAnsi="Book Antiqua"/>
          <w:lang w:val="es-ES_tradnl"/>
        </w:rPr>
        <w:t xml:space="preserve"> </w:t>
      </w:r>
      <w:r w:rsidR="00A768AD" w:rsidRPr="00FC46A0">
        <w:rPr>
          <w:rFonts w:ascii="Book Antiqua" w:hAnsi="Book Antiqua"/>
          <w:lang w:val="es-ES_tradnl"/>
        </w:rPr>
        <w:t xml:space="preserve">no </w:t>
      </w:r>
      <w:r w:rsidRPr="00FC46A0">
        <w:rPr>
          <w:rFonts w:ascii="Book Antiqua" w:hAnsi="Book Antiqua"/>
          <w:lang w:val="es-ES_tradnl"/>
        </w:rPr>
        <w:t>favorecer</w:t>
      </w:r>
      <w:r w:rsidR="00A768AD" w:rsidRPr="00FC46A0">
        <w:rPr>
          <w:rFonts w:ascii="Book Antiqua" w:hAnsi="Book Antiqua"/>
          <w:lang w:val="es-ES_tradnl"/>
        </w:rPr>
        <w:t xml:space="preserve"> </w:t>
      </w:r>
      <w:r w:rsidRPr="00FC46A0">
        <w:rPr>
          <w:rFonts w:ascii="Book Antiqua" w:hAnsi="Book Antiqua"/>
          <w:lang w:val="es-ES_tradnl"/>
        </w:rPr>
        <w:t>el</w:t>
      </w:r>
      <w:r w:rsidR="00A768AD" w:rsidRPr="00FC46A0">
        <w:rPr>
          <w:rFonts w:ascii="Book Antiqua" w:hAnsi="Book Antiqua"/>
          <w:lang w:val="es-ES_tradnl"/>
        </w:rPr>
        <w:t xml:space="preserve"> P. del S. 920</w:t>
      </w:r>
      <w:r w:rsidR="00A768AD" w:rsidRPr="00A768AD">
        <w:rPr>
          <w:rFonts w:ascii="Book Antiqua" w:hAnsi="Book Antiqua"/>
          <w:lang w:val="es-ES_tradnl"/>
        </w:rPr>
        <w:t xml:space="preserve">, puesto que, considera que </w:t>
      </w:r>
      <w:r w:rsidR="00D41C58">
        <w:rPr>
          <w:rFonts w:ascii="Book Antiqua" w:hAnsi="Book Antiqua"/>
          <w:lang w:val="es-ES_tradnl"/>
        </w:rPr>
        <w:t>su</w:t>
      </w:r>
      <w:r w:rsidR="00A768AD" w:rsidRPr="00A768AD">
        <w:rPr>
          <w:rFonts w:ascii="Book Antiqua" w:hAnsi="Book Antiqua"/>
          <w:lang w:val="es-ES_tradnl"/>
        </w:rPr>
        <w:t xml:space="preserve"> aprobación propiciaría, nuevamente, un disloque trascendental </w:t>
      </w:r>
      <w:r w:rsidR="00D41C58">
        <w:rPr>
          <w:rFonts w:ascii="Book Antiqua" w:hAnsi="Book Antiqua"/>
          <w:lang w:val="es-ES_tradnl"/>
        </w:rPr>
        <w:t>en</w:t>
      </w:r>
      <w:r w:rsidR="00A768AD" w:rsidRPr="00A768AD">
        <w:rPr>
          <w:rFonts w:ascii="Book Antiqua" w:hAnsi="Book Antiqua"/>
          <w:lang w:val="es-ES_tradnl"/>
        </w:rPr>
        <w:t xml:space="preserve"> nuestro ordenamiento jurídico.</w:t>
      </w:r>
      <w:r w:rsidR="00A768AD" w:rsidRPr="00A768AD">
        <w:rPr>
          <w:rFonts w:ascii="Book Antiqua" w:eastAsia="Times New Roman" w:hAnsi="Book Antiqua" w:cs="Times New Roman"/>
          <w:kern w:val="0"/>
          <w:szCs w:val="20"/>
          <w:lang w:val="es-ES_tradnl"/>
          <w14:ligatures w14:val="none"/>
        </w:rPr>
        <w:t xml:space="preserve"> </w:t>
      </w:r>
      <w:r w:rsidR="00A768AD" w:rsidRPr="00A768AD">
        <w:rPr>
          <w:rFonts w:ascii="Book Antiqua" w:hAnsi="Book Antiqua"/>
          <w:lang w:val="es-ES_tradnl"/>
        </w:rPr>
        <w:t>Sustentando su posición, el Secretario aludió al desface provocado por la Ley 289-2000, según enmendada, conocida como “Ley de la Declaración de Derechos y Deberes de la Persona Menor de Edad, su Padre, Madre o Tutor y del Estado”. Dicho estatuto redujo, de manera inmediata tras su aprobación, la mayoría de edad de 21 a 18 años en Puerto Rico.</w:t>
      </w:r>
      <w:r w:rsidR="00A768AD" w:rsidRPr="00A768AD">
        <w:rPr>
          <w:rFonts w:ascii="Book Antiqua" w:eastAsia="Times New Roman" w:hAnsi="Book Antiqua" w:cs="Times New Roman"/>
          <w:kern w:val="0"/>
          <w:szCs w:val="20"/>
          <w:lang w:val="es-ES_tradnl"/>
          <w14:ligatures w14:val="none"/>
        </w:rPr>
        <w:t xml:space="preserve"> </w:t>
      </w:r>
      <w:r w:rsidR="00A768AD" w:rsidRPr="00A768AD">
        <w:rPr>
          <w:rFonts w:ascii="Book Antiqua" w:hAnsi="Book Antiqua"/>
          <w:lang w:val="es-ES_tradnl"/>
        </w:rPr>
        <w:t xml:space="preserve">No obstante, esta fue enmendada posteriormente por la Ley 59-2001, a los fines de derogar el Artículo 3 que estableció el nuevo término de edad. Bajo el actual Proyecto, </w:t>
      </w:r>
      <w:r w:rsidR="005600C6">
        <w:rPr>
          <w:rFonts w:ascii="Book Antiqua" w:hAnsi="Book Antiqua"/>
          <w:lang w:val="es-ES_tradnl"/>
        </w:rPr>
        <w:t>el Secretario</w:t>
      </w:r>
      <w:r w:rsidR="00A768AD" w:rsidRPr="00A768AD">
        <w:rPr>
          <w:rFonts w:ascii="Book Antiqua" w:hAnsi="Book Antiqua"/>
          <w:lang w:val="es-ES_tradnl"/>
        </w:rPr>
        <w:t xml:space="preserve"> criticó la manera en que </w:t>
      </w:r>
      <w:r w:rsidR="005600C6">
        <w:rPr>
          <w:rFonts w:ascii="Book Antiqua" w:hAnsi="Book Antiqua"/>
          <w:lang w:val="es-ES_tradnl"/>
        </w:rPr>
        <w:t>se sustenta</w:t>
      </w:r>
      <w:r w:rsidR="00A768AD" w:rsidRPr="00A768AD">
        <w:rPr>
          <w:rFonts w:ascii="Book Antiqua" w:hAnsi="Book Antiqua"/>
          <w:lang w:val="es-ES_tradnl"/>
        </w:rPr>
        <w:t xml:space="preserve"> el propósito legislativo, según se expone a continuación:</w:t>
      </w:r>
    </w:p>
    <w:p w14:paraId="7422FBCE" w14:textId="7510E958" w:rsidR="007D4CD4" w:rsidRPr="007D4CD4" w:rsidRDefault="007D4CD4" w:rsidP="007B060F">
      <w:pPr>
        <w:spacing w:after="240" w:line="21" w:lineRule="atLeast"/>
        <w:ind w:left="1008" w:right="1008"/>
        <w:jc w:val="both"/>
        <w:rPr>
          <w:rFonts w:ascii="Book Antiqua" w:eastAsia="Times New Roman" w:hAnsi="Book Antiqua" w:cs="Times New Roman"/>
          <w:kern w:val="0"/>
          <w:szCs w:val="20"/>
          <w:lang w:val="es-ES_tradnl"/>
          <w14:ligatures w14:val="none"/>
        </w:rPr>
      </w:pPr>
      <w:r w:rsidRPr="007D4CD4">
        <w:rPr>
          <w:rFonts w:ascii="Book Antiqua" w:eastAsia="Times New Roman" w:hAnsi="Book Antiqua" w:cs="Times New Roman"/>
          <w:kern w:val="0"/>
          <w:szCs w:val="20"/>
          <w:lang w:val="es-ES_tradnl"/>
          <w14:ligatures w14:val="none"/>
        </w:rPr>
        <w:t xml:space="preserve">La Exposición de Motivos señala que el estado de derecho actual sobre la mayoría de edad, si bien ha funcionado como una protección, resulta ser un obstáculo en el desarrollo pleno de la juventud. Nuestra apreciación es que el desarrollo pleno de la juventud se logra a través de varios factores, entre ellos, mediante el desarrollo y maduración, lo que generalmente no ocurre a los 18 años. </w:t>
      </w:r>
      <w:r w:rsidRPr="00DA2102">
        <w:rPr>
          <w:rFonts w:ascii="Book Antiqua" w:eastAsia="Times New Roman" w:hAnsi="Book Antiqua" w:cs="Times New Roman"/>
          <w:kern w:val="0"/>
          <w:szCs w:val="20"/>
          <w:lang w:val="es-ES_tradnl"/>
          <w14:ligatures w14:val="none"/>
        </w:rPr>
        <w:t>En ese sentido, nos preocupa que, si bien algunos jóvenes de 18 años cuentan con la madurez necesaria para ser tratados como adultos, esto no es norma general. Por tanto, entendemos que legislación como la propuesta en el P. del 5. 920 requiere un análisis ponderado de las teorías de la conducta humana para evaluar las consecuencias jurídicas de su implementación</w:t>
      </w:r>
      <w:r w:rsidRPr="007D4CD4">
        <w:rPr>
          <w:rFonts w:ascii="Book Antiqua" w:eastAsia="Times New Roman" w:hAnsi="Book Antiqua" w:cs="Times New Roman"/>
          <w:kern w:val="0"/>
          <w:szCs w:val="20"/>
          <w:lang w:val="es-ES_tradnl"/>
          <w14:ligatures w14:val="none"/>
        </w:rPr>
        <w:t>.</w:t>
      </w:r>
      <w:r w:rsidRPr="007D4CD4">
        <w:rPr>
          <w:rFonts w:ascii="Book Antiqua" w:eastAsia="Times New Roman" w:hAnsi="Book Antiqua" w:cs="Times New Roman"/>
          <w:kern w:val="0"/>
          <w:szCs w:val="20"/>
          <w:vertAlign w:val="superscript"/>
          <w:lang w:val="es-ES_tradnl"/>
          <w14:ligatures w14:val="none"/>
        </w:rPr>
        <w:footnoteReference w:id="18"/>
      </w:r>
      <w:r w:rsidRPr="007D4CD4">
        <w:rPr>
          <w:rFonts w:ascii="Book Antiqua" w:eastAsia="Times New Roman" w:hAnsi="Book Antiqua" w:cs="Times New Roman"/>
          <w:kern w:val="0"/>
          <w:szCs w:val="20"/>
          <w:lang w:val="es-ES_tradnl"/>
          <w14:ligatures w14:val="none"/>
        </w:rPr>
        <w:t xml:space="preserve"> </w:t>
      </w:r>
    </w:p>
    <w:p w14:paraId="7D230EDC" w14:textId="51EC0326" w:rsidR="007D4CD4" w:rsidRPr="007D4CD4" w:rsidRDefault="007D4CD4" w:rsidP="007B060F">
      <w:pPr>
        <w:spacing w:after="240" w:line="21" w:lineRule="atLeast"/>
        <w:ind w:firstLine="360"/>
        <w:jc w:val="both"/>
        <w:rPr>
          <w:rFonts w:ascii="Book Antiqua" w:eastAsia="Times New Roman" w:hAnsi="Book Antiqua" w:cs="Times New Roman"/>
          <w:kern w:val="0"/>
          <w:szCs w:val="20"/>
          <w:lang w:val="es-ES_tradnl"/>
          <w14:ligatures w14:val="none"/>
        </w:rPr>
      </w:pPr>
      <w:r w:rsidRPr="007D4CD4">
        <w:rPr>
          <w:rFonts w:ascii="Book Antiqua" w:eastAsia="Times New Roman" w:hAnsi="Book Antiqua" w:cs="Times New Roman"/>
          <w:kern w:val="0"/>
          <w:szCs w:val="20"/>
          <w:lang w:val="es-ES_tradnl"/>
          <w14:ligatures w14:val="none"/>
        </w:rPr>
        <w:t>Dentro de este marco, el Secretario aludió a las posibles consecuencias que vislumbraría la aprobación del P. del S. 920. Entre estas destacó el derecho de los menores a recibir alimentos de sus padres, puesto que, “e] pago de pensiones alimentarias voluntarias o no, ha contribuido a favorecer a los estudiantes universitarios y vocacionales, redundando en mejores salarios y calidad de vida, para el desarrollo del país”.</w:t>
      </w:r>
      <w:r w:rsidRPr="007D4CD4">
        <w:rPr>
          <w:rFonts w:ascii="Book Antiqua" w:eastAsia="Times New Roman" w:hAnsi="Book Antiqua" w:cs="Times New Roman"/>
          <w:kern w:val="0"/>
          <w:szCs w:val="20"/>
          <w:vertAlign w:val="superscript"/>
          <w:lang w:val="es-ES_tradnl"/>
          <w14:ligatures w14:val="none"/>
        </w:rPr>
        <w:footnoteReference w:id="19"/>
      </w:r>
      <w:r w:rsidRPr="007D4CD4">
        <w:rPr>
          <w:rFonts w:ascii="Book Antiqua" w:eastAsia="Times New Roman" w:hAnsi="Book Antiqua" w:cs="Times New Roman"/>
          <w:kern w:val="0"/>
          <w:szCs w:val="20"/>
          <w:lang w:val="es-ES_tradnl"/>
          <w14:ligatures w14:val="none"/>
        </w:rPr>
        <w:t xml:space="preserve"> También comentó que “</w:t>
      </w:r>
      <w:r w:rsidRPr="009F674B">
        <w:rPr>
          <w:rFonts w:ascii="Book Antiqua" w:eastAsia="Times New Roman" w:hAnsi="Book Antiqua" w:cs="Times New Roman"/>
          <w:kern w:val="0"/>
          <w:szCs w:val="20"/>
          <w:lang w:val="es-ES_tradnl"/>
          <w14:ligatures w14:val="none"/>
        </w:rPr>
        <w:t>la pretensión de, por ejemplo, condicionar el recibo de pensiones alimenticias a que el menor esté estudiando al cumplir los 18 años podría atentar contra la seguridad y bienestar de un joven que no ha completado su etapa de desarrollo, ni alcanzado su desarrollo pleno para valerse por sí mismo</w:t>
      </w:r>
      <w:r w:rsidRPr="007D4CD4">
        <w:rPr>
          <w:rFonts w:ascii="Book Antiqua" w:eastAsia="Times New Roman" w:hAnsi="Book Antiqua" w:cs="Times New Roman"/>
          <w:kern w:val="0"/>
          <w:szCs w:val="20"/>
          <w:lang w:val="es-ES_tradnl"/>
          <w14:ligatures w14:val="none"/>
        </w:rPr>
        <w:t>”,</w:t>
      </w:r>
      <w:r w:rsidRPr="007D4CD4">
        <w:rPr>
          <w:rFonts w:ascii="Book Antiqua" w:eastAsia="Times New Roman" w:hAnsi="Book Antiqua" w:cs="Times New Roman"/>
          <w:kern w:val="0"/>
          <w:szCs w:val="20"/>
          <w:vertAlign w:val="superscript"/>
          <w:lang w:val="es-ES_tradnl"/>
          <w14:ligatures w14:val="none"/>
        </w:rPr>
        <w:footnoteReference w:id="20"/>
      </w:r>
      <w:r w:rsidRPr="007D4CD4">
        <w:rPr>
          <w:rFonts w:ascii="Book Antiqua" w:eastAsia="Times New Roman" w:hAnsi="Book Antiqua" w:cs="Times New Roman"/>
          <w:kern w:val="0"/>
          <w:szCs w:val="20"/>
          <w:lang w:val="es-ES_tradnl"/>
          <w14:ligatures w14:val="none"/>
        </w:rPr>
        <w:t xml:space="preserve"> ello, según la experiencia de los Procuradores de Asuntos de Familia.  </w:t>
      </w:r>
    </w:p>
    <w:p w14:paraId="4C057ACE" w14:textId="2DBC5F49" w:rsidR="00894494" w:rsidRPr="007D4CD4" w:rsidRDefault="007D4CD4" w:rsidP="007B060F">
      <w:pPr>
        <w:spacing w:after="240" w:line="21" w:lineRule="atLeast"/>
        <w:ind w:firstLine="360"/>
        <w:jc w:val="both"/>
        <w:rPr>
          <w:rFonts w:ascii="Book Antiqua" w:eastAsia="Times New Roman" w:hAnsi="Book Antiqua" w:cs="Times New Roman"/>
          <w:kern w:val="0"/>
          <w:szCs w:val="20"/>
          <w:lang w:val="es-ES_tradnl"/>
          <w14:ligatures w14:val="none"/>
        </w:rPr>
      </w:pPr>
      <w:r w:rsidRPr="007D4CD4">
        <w:rPr>
          <w:rFonts w:ascii="Book Antiqua" w:eastAsia="Times New Roman" w:hAnsi="Book Antiqua" w:cs="Times New Roman"/>
          <w:kern w:val="0"/>
          <w:szCs w:val="20"/>
          <w:lang w:val="es-ES_tradnl"/>
          <w14:ligatures w14:val="none"/>
        </w:rPr>
        <w:lastRenderedPageBreak/>
        <w:t>Por otro lado, según expuesto, el Proyecto incidiría sobre la figura del «emancipado» y las causales bajo las cuales un menor entre los 18 y 2</w:t>
      </w:r>
      <w:r w:rsidR="00DF7D93">
        <w:rPr>
          <w:rFonts w:ascii="Book Antiqua" w:eastAsia="Times New Roman" w:hAnsi="Book Antiqua" w:cs="Times New Roman"/>
          <w:kern w:val="0"/>
          <w:szCs w:val="20"/>
          <w:lang w:val="es-ES_tradnl"/>
          <w14:ligatures w14:val="none"/>
        </w:rPr>
        <w:t>1</w:t>
      </w:r>
      <w:r w:rsidRPr="007D4CD4">
        <w:rPr>
          <w:rFonts w:ascii="Book Antiqua" w:eastAsia="Times New Roman" w:hAnsi="Book Antiqua" w:cs="Times New Roman"/>
          <w:kern w:val="0"/>
          <w:szCs w:val="20"/>
          <w:lang w:val="es-ES_tradnl"/>
          <w14:ligatures w14:val="none"/>
        </w:rPr>
        <w:t xml:space="preserve"> años podría emanciparse. Asimismo, Justicia cuestionó el efecto de la presente medida en el Sistema de Justicia de los Menores, puesto que, bajo la Ley Núm. 88 del 9 de julio de 1986, según enmendada, conocida </w:t>
      </w:r>
      <w:r w:rsidR="00DF7D93" w:rsidRPr="007D4CD4">
        <w:rPr>
          <w:rFonts w:ascii="Book Antiqua" w:eastAsia="Times New Roman" w:hAnsi="Book Antiqua" w:cs="Times New Roman"/>
          <w:kern w:val="0"/>
          <w:szCs w:val="20"/>
          <w:lang w:val="es-ES_tradnl"/>
          <w14:ligatures w14:val="none"/>
        </w:rPr>
        <w:t>como “Ley</w:t>
      </w:r>
      <w:r w:rsidRPr="007D4CD4">
        <w:rPr>
          <w:rFonts w:ascii="Book Antiqua" w:eastAsia="Times New Roman" w:hAnsi="Book Antiqua" w:cs="Times New Roman"/>
          <w:kern w:val="0"/>
          <w:szCs w:val="20"/>
          <w:lang w:val="es-ES_tradnl"/>
          <w14:ligatures w14:val="none"/>
        </w:rPr>
        <w:t xml:space="preserve"> de Menores de Puerto Rico”, el tribunal de menores conserva autoridad sobre la figura del menor de edad hasta que cumpla los 21 años, a menos que mediante orden al efecto d</w:t>
      </w:r>
      <w:r w:rsidR="002B7F81">
        <w:rPr>
          <w:rFonts w:ascii="Book Antiqua" w:eastAsia="Times New Roman" w:hAnsi="Book Antiqua" w:cs="Times New Roman"/>
          <w:kern w:val="0"/>
          <w:szCs w:val="20"/>
          <w:lang w:val="es-ES_tradnl"/>
          <w14:ligatures w14:val="none"/>
        </w:rPr>
        <w:t>é</w:t>
      </w:r>
      <w:r w:rsidRPr="007D4CD4">
        <w:rPr>
          <w:rFonts w:ascii="Book Antiqua" w:eastAsia="Times New Roman" w:hAnsi="Book Antiqua" w:cs="Times New Roman"/>
          <w:kern w:val="0"/>
          <w:szCs w:val="20"/>
          <w:lang w:val="es-ES_tradnl"/>
          <w14:ligatures w14:val="none"/>
        </w:rPr>
        <w:t xml:space="preserve"> por terminada la misma.</w:t>
      </w:r>
      <w:r w:rsidRPr="007D4CD4">
        <w:rPr>
          <w:rFonts w:ascii="Book Antiqua" w:eastAsia="Times New Roman" w:hAnsi="Book Antiqua" w:cs="Times New Roman"/>
          <w:kern w:val="0"/>
          <w:szCs w:val="20"/>
          <w:vertAlign w:val="superscript"/>
          <w:lang w:val="es-ES_tradnl"/>
          <w14:ligatures w14:val="none"/>
        </w:rPr>
        <w:footnoteReference w:id="21"/>
      </w:r>
      <w:r w:rsidRPr="007D4CD4">
        <w:rPr>
          <w:rFonts w:ascii="Book Antiqua" w:eastAsia="Times New Roman" w:hAnsi="Book Antiqua" w:cs="Times New Roman"/>
          <w:kern w:val="0"/>
          <w:szCs w:val="20"/>
          <w:lang w:val="es-ES_tradnl"/>
          <w14:ligatures w14:val="none"/>
        </w:rPr>
        <w:t xml:space="preserve"> Sobre </w:t>
      </w:r>
      <w:r w:rsidR="002B7F81">
        <w:rPr>
          <w:rFonts w:ascii="Book Antiqua" w:eastAsia="Times New Roman" w:hAnsi="Book Antiqua" w:cs="Times New Roman"/>
          <w:kern w:val="0"/>
          <w:szCs w:val="20"/>
          <w:lang w:val="es-ES_tradnl"/>
          <w14:ligatures w14:val="none"/>
        </w:rPr>
        <w:t>esto dispuso</w:t>
      </w:r>
      <w:r w:rsidRPr="007D4CD4">
        <w:rPr>
          <w:rFonts w:ascii="Book Antiqua" w:eastAsia="Times New Roman" w:hAnsi="Book Antiqua" w:cs="Times New Roman"/>
          <w:kern w:val="0"/>
          <w:szCs w:val="20"/>
          <w:lang w:val="es-ES_tradnl"/>
          <w14:ligatures w14:val="none"/>
        </w:rPr>
        <w:t>:</w:t>
      </w:r>
    </w:p>
    <w:p w14:paraId="64D59741" w14:textId="350B3550" w:rsidR="00D2010E" w:rsidRDefault="007D4CD4" w:rsidP="007B060F">
      <w:pPr>
        <w:spacing w:after="240" w:line="21" w:lineRule="atLeast"/>
        <w:ind w:left="1008" w:right="1008"/>
        <w:jc w:val="both"/>
        <w:rPr>
          <w:rFonts w:ascii="Book Antiqua" w:eastAsia="Times New Roman" w:hAnsi="Book Antiqua" w:cs="Times New Roman"/>
          <w:kern w:val="0"/>
          <w:szCs w:val="20"/>
          <w:lang w:val="es-ES_tradnl"/>
          <w14:ligatures w14:val="none"/>
        </w:rPr>
      </w:pPr>
      <w:r w:rsidRPr="007D4CD4">
        <w:rPr>
          <w:rFonts w:ascii="Book Antiqua" w:eastAsia="Times New Roman" w:hAnsi="Book Antiqua" w:cs="Times New Roman"/>
          <w:kern w:val="0"/>
          <w:szCs w:val="20"/>
          <w:lang w:val="es-ES_tradnl"/>
          <w14:ligatures w14:val="none"/>
        </w:rPr>
        <w:t>Entendemos que la presente medida también frustra el sistema criminal de menores al promover que los jóvenes de 18 años ya no puedan tener el beneficio de las medidas dispositivas que le puedan ser impuestas bajo las disposiciones de la Ley de Menores, ya que en lo</w:t>
      </w:r>
      <w:r w:rsidR="0066786C">
        <w:rPr>
          <w:rFonts w:ascii="Book Antiqua" w:eastAsia="Times New Roman" w:hAnsi="Book Antiqua" w:cs="Times New Roman"/>
          <w:kern w:val="0"/>
          <w:szCs w:val="20"/>
          <w:lang w:val="es-ES_tradnl"/>
          <w14:ligatures w14:val="none"/>
        </w:rPr>
        <w:t xml:space="preserve"> </w:t>
      </w:r>
      <w:r w:rsidR="0066786C" w:rsidRPr="0066786C">
        <w:rPr>
          <w:rFonts w:ascii="Book Antiqua" w:eastAsia="Times New Roman" w:hAnsi="Book Antiqua" w:cs="Times New Roman"/>
          <w:kern w:val="0"/>
          <w:szCs w:val="20"/>
          <w:lang w:val="es-ES_tradnl"/>
          <w14:ligatures w14:val="none"/>
        </w:rPr>
        <w:t>sucesivo los Procuradores de Menores se verían obligados a solicitar la renuncia de jurisdicción en los casos graves.</w:t>
      </w:r>
      <w:r w:rsidR="0066786C" w:rsidRPr="0066786C">
        <w:rPr>
          <w:rFonts w:ascii="Book Antiqua" w:eastAsia="Times New Roman" w:hAnsi="Book Antiqua" w:cs="Times New Roman"/>
          <w:kern w:val="0"/>
          <w:szCs w:val="20"/>
          <w:vertAlign w:val="superscript"/>
          <w:lang w:val="es-ES_tradnl"/>
          <w14:ligatures w14:val="none"/>
        </w:rPr>
        <w:footnoteReference w:id="22"/>
      </w:r>
    </w:p>
    <w:p w14:paraId="1BD01431" w14:textId="41F9D52A" w:rsidR="001A53B7" w:rsidRPr="001A53B7" w:rsidRDefault="001A53B7" w:rsidP="007B060F">
      <w:pPr>
        <w:spacing w:after="240" w:line="21" w:lineRule="atLeast"/>
        <w:ind w:firstLine="360"/>
        <w:jc w:val="both"/>
        <w:rPr>
          <w:rFonts w:ascii="Book Antiqua" w:hAnsi="Book Antiqua"/>
          <w:lang w:val="es-ES_tradnl"/>
        </w:rPr>
      </w:pPr>
      <w:r w:rsidRPr="001A53B7">
        <w:rPr>
          <w:rFonts w:ascii="Book Antiqua" w:hAnsi="Book Antiqua"/>
          <w:lang w:val="es-ES_tradnl"/>
        </w:rPr>
        <w:t xml:space="preserve">Por último, el Secretario aludió al efecto nocivo del P. del S. 920 sobre la Sección 1 de la Ley Núm. 103 del 29 de junio de 1955, según enmendada, conocida como “Ley de Sentencia Suspendida en Causas de Delitos Graves y en Ciertos Delitos Menos Graves para Menores de 21 años”, la cual autoriza a los jueces del Tribunal de Primera Instancia suspender sentencias en todos los casos de delitos graves excepto en casos de asesinato en primer grado y en ciertos casos de delitos menos graves a aquellos acusados que a la fecha de la comisión del delito fueran menores de 21 años de edad. Se nos </w:t>
      </w:r>
      <w:r w:rsidR="00726D5B">
        <w:rPr>
          <w:rFonts w:ascii="Book Antiqua" w:hAnsi="Book Antiqua"/>
          <w:lang w:val="es-ES_tradnl"/>
        </w:rPr>
        <w:t xml:space="preserve">informó </w:t>
      </w:r>
      <w:r w:rsidRPr="001A53B7">
        <w:rPr>
          <w:rFonts w:ascii="Book Antiqua" w:hAnsi="Book Antiqua"/>
          <w:lang w:val="es-ES_tradnl"/>
        </w:rPr>
        <w:t>puntualmente que “al establecerse la mayoridad a los 18 años, no existirá una justificación para conceder el beneficio y la oportunidad de rehabilitación a través de una sentencia suspendida a los jóvenes entre 18 a 21 años”.</w:t>
      </w:r>
      <w:r w:rsidRPr="001A53B7">
        <w:rPr>
          <w:rFonts w:ascii="Book Antiqua" w:hAnsi="Book Antiqua"/>
          <w:vertAlign w:val="superscript"/>
          <w:lang w:val="es-ES_tradnl"/>
        </w:rPr>
        <w:footnoteReference w:id="23"/>
      </w:r>
    </w:p>
    <w:p w14:paraId="18A35F17" w14:textId="4B5583D6" w:rsidR="001A53B7" w:rsidRPr="00726D5B" w:rsidRDefault="00712075" w:rsidP="00726D5B">
      <w:pPr>
        <w:pStyle w:val="ListParagraph"/>
        <w:numPr>
          <w:ilvl w:val="0"/>
          <w:numId w:val="1"/>
        </w:numPr>
        <w:spacing w:after="240" w:line="21" w:lineRule="atLeast"/>
        <w:jc w:val="both"/>
        <w:rPr>
          <w:rFonts w:ascii="Book Antiqua" w:hAnsi="Book Antiqua"/>
          <w:b/>
          <w:bCs/>
          <w:u w:val="single"/>
          <w:lang w:val="es-ES_tradnl"/>
        </w:rPr>
      </w:pPr>
      <w:r w:rsidRPr="00726D5B">
        <w:rPr>
          <w:rFonts w:ascii="Book Antiqua" w:hAnsi="Book Antiqua"/>
          <w:b/>
          <w:bCs/>
          <w:lang w:val="es-ES_tradnl"/>
        </w:rPr>
        <w:t xml:space="preserve"> </w:t>
      </w:r>
      <w:r w:rsidR="001A53B7" w:rsidRPr="00726D5B">
        <w:rPr>
          <w:rFonts w:ascii="Book Antiqua" w:hAnsi="Book Antiqua"/>
          <w:b/>
          <w:bCs/>
          <w:u w:val="single"/>
          <w:lang w:val="es-ES_tradnl"/>
        </w:rPr>
        <w:t>Colegio de Abogados de Puerto Rico</w:t>
      </w:r>
    </w:p>
    <w:p w14:paraId="4E83AD2D" w14:textId="7B9D4164" w:rsidR="001A53B7" w:rsidRPr="001A53B7" w:rsidRDefault="001A53B7" w:rsidP="007B060F">
      <w:pPr>
        <w:spacing w:after="240" w:line="21" w:lineRule="atLeast"/>
        <w:ind w:firstLine="360"/>
        <w:jc w:val="both"/>
        <w:rPr>
          <w:rFonts w:ascii="Book Antiqua" w:hAnsi="Book Antiqua"/>
          <w:lang w:val="es-ES_tradnl"/>
        </w:rPr>
      </w:pPr>
      <w:r w:rsidRPr="001A53B7">
        <w:rPr>
          <w:rFonts w:ascii="Book Antiqua" w:hAnsi="Book Antiqua"/>
          <w:lang w:val="es-ES_tradnl"/>
        </w:rPr>
        <w:t xml:space="preserve">El Lcdo. Manuel A. Quilichini y la Lcda. Migdalia Fratichelli Torres, presidente del CAAPR y presidenta de la Comisión de Derecho Civil, respectivamente, </w:t>
      </w:r>
      <w:r w:rsidRPr="0077771B">
        <w:rPr>
          <w:rFonts w:ascii="Book Antiqua" w:hAnsi="Book Antiqua"/>
          <w:lang w:val="es-ES_tradnl"/>
        </w:rPr>
        <w:t>se expresaron a favor de la reducción de la mayoridad a los 18 años, según propuesto por el P. del S. 920</w:t>
      </w:r>
      <w:r w:rsidRPr="001A53B7">
        <w:rPr>
          <w:rFonts w:ascii="Book Antiqua" w:hAnsi="Book Antiqua"/>
          <w:lang w:val="es-ES_tradnl"/>
        </w:rPr>
        <w:t>.</w:t>
      </w:r>
      <w:r w:rsidRPr="001A53B7">
        <w:rPr>
          <w:rFonts w:ascii="Book Antiqua" w:eastAsia="Times New Roman" w:hAnsi="Book Antiqua" w:cs="Times New Roman"/>
          <w:kern w:val="0"/>
          <w:szCs w:val="20"/>
          <w:lang w:val="es-ES_tradnl"/>
          <w14:ligatures w14:val="none"/>
        </w:rPr>
        <w:t xml:space="preserve"> </w:t>
      </w:r>
      <w:r w:rsidRPr="001A53B7">
        <w:rPr>
          <w:rFonts w:ascii="Book Antiqua" w:hAnsi="Book Antiqua"/>
          <w:lang w:val="es-ES_tradnl"/>
        </w:rPr>
        <w:t xml:space="preserve">Mediante un detallado Memorial Explicativo, el Colegio de </w:t>
      </w:r>
      <w:r w:rsidR="0077771B" w:rsidRPr="001A53B7">
        <w:rPr>
          <w:rFonts w:ascii="Book Antiqua" w:hAnsi="Book Antiqua"/>
          <w:lang w:val="es-ES_tradnl"/>
        </w:rPr>
        <w:t>Abogados</w:t>
      </w:r>
      <w:r w:rsidRPr="001A53B7">
        <w:rPr>
          <w:rFonts w:ascii="Book Antiqua" w:hAnsi="Book Antiqua"/>
          <w:lang w:val="es-ES_tradnl"/>
        </w:rPr>
        <w:t xml:space="preserve"> abordó que, Puerto Rico es una de las pocas jurisdicciones a nivel estatal e internacional que conservan la mayoría de edad a los 21 años. A manera de ejemplo, destacaron que más de 140 países en el mundo han pautado la </w:t>
      </w:r>
      <w:r w:rsidR="00C5332D">
        <w:rPr>
          <w:rFonts w:ascii="Book Antiqua" w:hAnsi="Book Antiqua"/>
          <w:lang w:val="es-ES_tradnl"/>
        </w:rPr>
        <w:t>mayoridad</w:t>
      </w:r>
      <w:r w:rsidRPr="001A53B7">
        <w:rPr>
          <w:rFonts w:ascii="Book Antiqua" w:hAnsi="Book Antiqua"/>
          <w:lang w:val="es-ES_tradnl"/>
        </w:rPr>
        <w:t xml:space="preserve"> a los 18 años, y dicha normativa también se encuentra presente en 47 de los 50 estados de los Estados Unidos de América. </w:t>
      </w:r>
      <w:r w:rsidR="00C5332D">
        <w:rPr>
          <w:rFonts w:ascii="Book Antiqua" w:hAnsi="Book Antiqua"/>
          <w:lang w:val="es-ES_tradnl"/>
        </w:rPr>
        <w:t>Incluso</w:t>
      </w:r>
      <w:r w:rsidRPr="001A53B7">
        <w:rPr>
          <w:rFonts w:ascii="Book Antiqua" w:hAnsi="Book Antiqua"/>
          <w:lang w:val="es-ES_tradnl"/>
        </w:rPr>
        <w:t>, según destaca el Colegio, una persona menor de 18 años pudiera ser juzgada penalmente como una persona adulta, por lo cual, expresaron lo siguiente:</w:t>
      </w:r>
    </w:p>
    <w:p w14:paraId="2C977D8D" w14:textId="77777777" w:rsidR="001A53B7" w:rsidRPr="001A53B7" w:rsidRDefault="001A53B7" w:rsidP="007B060F">
      <w:pPr>
        <w:spacing w:after="240" w:line="21" w:lineRule="atLeast"/>
        <w:ind w:left="1008" w:right="1008"/>
        <w:jc w:val="both"/>
        <w:rPr>
          <w:rFonts w:ascii="Book Antiqua" w:hAnsi="Book Antiqua"/>
          <w:lang w:val="es-ES_tradnl"/>
        </w:rPr>
      </w:pPr>
      <w:r w:rsidRPr="001A53B7">
        <w:rPr>
          <w:rFonts w:ascii="Book Antiqua" w:hAnsi="Book Antiqua"/>
          <w:lang w:val="es-ES_tradnl"/>
        </w:rPr>
        <w:lastRenderedPageBreak/>
        <w:t>La realidad es que constituye un contrasentido normativo que la edad para una persona responder penalmente sea más baja que para responder civilmente. En la primera se compromete la libertad de la persona, en la segunda solo su patrimonio. Incluso, puede la persona exponer su vida en las fuerzas armadas, decidir sobre el destino político del país o constituir una familia con 18 años, pero no suscribir un contrato de arrendamiento sin la asistencia de sus padres con patria potestad o el tutor a falta de estos.</w:t>
      </w:r>
      <w:r w:rsidRPr="001A53B7">
        <w:rPr>
          <w:rFonts w:ascii="Book Antiqua" w:hAnsi="Book Antiqua"/>
          <w:vertAlign w:val="superscript"/>
          <w:lang w:val="es-ES_tradnl"/>
        </w:rPr>
        <w:footnoteReference w:id="24"/>
      </w:r>
    </w:p>
    <w:p w14:paraId="4AB85AC5" w14:textId="1D8A5FA6" w:rsidR="001A53B7" w:rsidRPr="001A53B7" w:rsidRDefault="001A53B7" w:rsidP="007B060F">
      <w:pPr>
        <w:spacing w:after="240" w:line="21" w:lineRule="atLeast"/>
        <w:ind w:firstLine="360"/>
        <w:jc w:val="both"/>
        <w:rPr>
          <w:rFonts w:ascii="Book Antiqua" w:eastAsia="Times New Roman" w:hAnsi="Book Antiqua" w:cs="Times New Roman"/>
          <w:kern w:val="0"/>
          <w:szCs w:val="20"/>
          <w:lang w:val="es-ES_tradnl"/>
          <w14:ligatures w14:val="none"/>
        </w:rPr>
      </w:pPr>
      <w:r w:rsidRPr="001A53B7">
        <w:rPr>
          <w:rFonts w:ascii="Book Antiqua" w:eastAsia="Times New Roman" w:hAnsi="Book Antiqua" w:cs="Times New Roman"/>
          <w:kern w:val="0"/>
          <w:szCs w:val="20"/>
          <w:lang w:val="es-ES_tradnl"/>
          <w14:ligatures w14:val="none"/>
        </w:rPr>
        <w:t>El CAPR ya había favorecido la reducción de la mayoridad de edad, ello, mediante el “Informe de la Comision de Derecho Civil del CAAPR”. Este documento, el cual fue sometido ante la Asamblea Legislativa en el 2021, contiene enmiendas propuestas al Código Civil de Puerto Rico de 2020. En lo respectivo a la mayoría de edad, el Colegio alude que es sujeto a enmiendas directas los Artículos 96, 97 y 98 del Código Civil, y que las implicaciones de dicha modificación tendrán consecuencias en otros artículos, por lo cual, estos también deben ser estudiados, analizados y modificados a la nueva normativa. Los referidos artículos que abordan son el 107, 380, 381, 409, 411, 580, 582, 584, 595, 641, 643, 645 y 1641. De este modo, exponen que el reconocimiento de la mayoridad a una edad más temprana tendría efectos sociales y económicos positivos en Puerto Rico, puesto que “dará mayor flexibilidad a la industria, la banca y el comercio para financiar, auspiciar e incentivar el crédito y el emprendimiento individual de un sector muy creativo de la sociedad moderna”,</w:t>
      </w:r>
      <w:r w:rsidRPr="001A53B7">
        <w:rPr>
          <w:rFonts w:ascii="Book Antiqua" w:eastAsia="Times New Roman" w:hAnsi="Book Antiqua" w:cs="Times New Roman"/>
          <w:kern w:val="0"/>
          <w:szCs w:val="20"/>
          <w:vertAlign w:val="superscript"/>
          <w:lang w:val="es-ES_tradnl"/>
          <w14:ligatures w14:val="none"/>
        </w:rPr>
        <w:footnoteReference w:id="25"/>
      </w:r>
      <w:r w:rsidRPr="001A53B7">
        <w:rPr>
          <w:rFonts w:ascii="Book Antiqua" w:eastAsia="Times New Roman" w:hAnsi="Book Antiqua" w:cs="Times New Roman"/>
          <w:kern w:val="0"/>
          <w:szCs w:val="20"/>
          <w:lang w:val="es-ES_tradnl"/>
          <w14:ligatures w14:val="none"/>
        </w:rPr>
        <w:t xml:space="preserve"> entre otros importantes asuntos.</w:t>
      </w:r>
    </w:p>
    <w:p w14:paraId="1D7F1B86" w14:textId="77777777" w:rsidR="001A53B7" w:rsidRPr="001A53B7" w:rsidRDefault="001A53B7" w:rsidP="007B060F">
      <w:pPr>
        <w:spacing w:after="240" w:line="21" w:lineRule="atLeast"/>
        <w:ind w:firstLine="360"/>
        <w:jc w:val="both"/>
        <w:rPr>
          <w:rFonts w:ascii="Book Antiqua" w:eastAsia="Times New Roman" w:hAnsi="Book Antiqua" w:cs="Times New Roman"/>
          <w:kern w:val="0"/>
          <w:szCs w:val="20"/>
          <w:lang w:val="es-ES_tradnl"/>
          <w14:ligatures w14:val="none"/>
        </w:rPr>
      </w:pPr>
      <w:r w:rsidRPr="001A53B7">
        <w:rPr>
          <w:rFonts w:ascii="Book Antiqua" w:eastAsia="Times New Roman" w:hAnsi="Book Antiqua" w:cs="Times New Roman"/>
          <w:kern w:val="0"/>
          <w:szCs w:val="20"/>
          <w:lang w:val="es-ES_tradnl"/>
          <w14:ligatures w14:val="none"/>
        </w:rPr>
        <w:t xml:space="preserve">No obstante, el Colegio auscultó el análisis de varias de sus Comisiones internas con inherencia sobre la materia, y manifestaron preocupaciones sobre la implementación de la medida en la fase transitoria, ello, por las implicaciones sobre las obligaciones alimentarias vigentes a la fecha en que entrare en vigor la nueva ley. Destacaron, pues, reparos sobre la protección transitoria de las partes legitimadas en controversias y/o procesos alimentarios “en lo referente al </w:t>
      </w:r>
      <w:r w:rsidRPr="001A53B7">
        <w:rPr>
          <w:rFonts w:ascii="Book Antiqua" w:eastAsia="Times New Roman" w:hAnsi="Book Antiqua" w:cs="Times New Roman"/>
          <w:b/>
          <w:bCs/>
          <w:kern w:val="0"/>
          <w:szCs w:val="20"/>
          <w:lang w:val="es-ES_tradnl"/>
          <w14:ligatures w14:val="none"/>
        </w:rPr>
        <w:t>peso de la prueba sobre la subsistencia de sus necesidades alimentarias</w:t>
      </w:r>
      <w:r w:rsidRPr="001A53B7">
        <w:rPr>
          <w:rFonts w:ascii="Book Antiqua" w:eastAsia="Times New Roman" w:hAnsi="Book Antiqua" w:cs="Times New Roman"/>
          <w:kern w:val="0"/>
          <w:szCs w:val="20"/>
          <w:lang w:val="es-ES_tradnl"/>
          <w14:ligatures w14:val="none"/>
        </w:rPr>
        <w:t xml:space="preserve">, así como la </w:t>
      </w:r>
      <w:r w:rsidRPr="001A53B7">
        <w:rPr>
          <w:rFonts w:ascii="Book Antiqua" w:eastAsia="Times New Roman" w:hAnsi="Book Antiqua" w:cs="Times New Roman"/>
          <w:b/>
          <w:bCs/>
          <w:kern w:val="0"/>
          <w:szCs w:val="20"/>
          <w:lang w:val="es-ES_tradnl"/>
          <w14:ligatures w14:val="none"/>
        </w:rPr>
        <w:t>capacidad en la que continuarán reclamando esos alimentos</w:t>
      </w:r>
      <w:r w:rsidRPr="001A53B7">
        <w:rPr>
          <w:rFonts w:ascii="Book Antiqua" w:eastAsia="Times New Roman" w:hAnsi="Book Antiqua" w:cs="Times New Roman"/>
          <w:kern w:val="0"/>
          <w:szCs w:val="20"/>
          <w:lang w:val="es-ES_tradnl"/>
          <w14:ligatures w14:val="none"/>
        </w:rPr>
        <w:t>, ya sea como hijos menores bajo el derecho anterior, o como meros parientes adultos bajo el nuevo estado de derecho”.</w:t>
      </w:r>
      <w:r w:rsidRPr="001A53B7">
        <w:rPr>
          <w:rFonts w:ascii="Book Antiqua" w:eastAsia="Times New Roman" w:hAnsi="Book Antiqua" w:cs="Times New Roman"/>
          <w:kern w:val="0"/>
          <w:szCs w:val="20"/>
          <w:vertAlign w:val="superscript"/>
          <w:lang w:val="es-ES_tradnl"/>
          <w14:ligatures w14:val="none"/>
        </w:rPr>
        <w:footnoteReference w:id="26"/>
      </w:r>
      <w:r w:rsidRPr="001A53B7">
        <w:rPr>
          <w:rFonts w:ascii="Book Antiqua" w:eastAsia="Times New Roman" w:hAnsi="Book Antiqua" w:cs="Times New Roman"/>
          <w:kern w:val="0"/>
          <w:szCs w:val="20"/>
          <w:lang w:val="es-ES_tradnl"/>
          <w14:ligatures w14:val="none"/>
        </w:rPr>
        <w:t xml:space="preserve"> (Énfasis suplido) También, aludieron al reclamo de algunos sectores sobre quién ha de recibir y administrar la pensión vigente, sobre todo si proviene a través de ASUME. Sobre este planteamiento se indicó lo siguiente:</w:t>
      </w:r>
    </w:p>
    <w:p w14:paraId="304FA2FF" w14:textId="77777777" w:rsidR="001A53B7" w:rsidRPr="001A53B7" w:rsidRDefault="001A53B7" w:rsidP="007B060F">
      <w:pPr>
        <w:spacing w:after="240" w:line="21" w:lineRule="atLeast"/>
        <w:ind w:left="1008" w:right="1008"/>
        <w:jc w:val="both"/>
        <w:rPr>
          <w:rFonts w:ascii="Book Antiqua" w:eastAsia="Times New Roman" w:hAnsi="Book Antiqua" w:cs="Times New Roman"/>
          <w:kern w:val="0"/>
          <w:szCs w:val="20"/>
          <w:lang w:val="es-ES_tradnl"/>
          <w14:ligatures w14:val="none"/>
        </w:rPr>
      </w:pPr>
      <w:r w:rsidRPr="001A53B7">
        <w:rPr>
          <w:rFonts w:ascii="Book Antiqua" w:eastAsia="Times New Roman" w:hAnsi="Book Antiqua" w:cs="Times New Roman"/>
          <w:kern w:val="0"/>
          <w:szCs w:val="20"/>
          <w:lang w:val="es-ES_tradnl"/>
          <w14:ligatures w14:val="none"/>
        </w:rPr>
        <w:t xml:space="preserve">Algunos colegas han expresado preocupación por este tema de manera especial, con dos visiones distintas sobre sus consecuencias. Unos favorecen que en la cláusula de transición se le permita al alimentista mayor de 18 años solicitar la entrega de la pensión, pues </w:t>
      </w:r>
      <w:r w:rsidRPr="001A53B7">
        <w:rPr>
          <w:rFonts w:ascii="Book Antiqua" w:eastAsia="Times New Roman" w:hAnsi="Book Antiqua" w:cs="Times New Roman"/>
          <w:kern w:val="0"/>
          <w:szCs w:val="20"/>
          <w:lang w:val="es-ES_tradnl"/>
          <w14:ligatures w14:val="none"/>
        </w:rPr>
        <w:lastRenderedPageBreak/>
        <w:t>ya es mayor de edad; otros reclaman prudencia, pues la pensión puede estar ya destinada a atender obligaciones de las que la o el progenitor custodio es deudor como jefe de familia y la entrega directamente al hijo o hija puede comprometer su pago oportuno, en perjuicio de su propio interés.</w:t>
      </w:r>
      <w:r w:rsidRPr="001A53B7">
        <w:rPr>
          <w:rFonts w:ascii="Book Antiqua" w:eastAsia="Times New Roman" w:hAnsi="Book Antiqua" w:cs="Times New Roman"/>
          <w:kern w:val="0"/>
          <w:szCs w:val="20"/>
          <w:vertAlign w:val="superscript"/>
          <w:lang w:val="es-ES_tradnl"/>
          <w14:ligatures w14:val="none"/>
        </w:rPr>
        <w:footnoteReference w:id="27"/>
      </w:r>
    </w:p>
    <w:p w14:paraId="7A2CD6C4" w14:textId="629DB792" w:rsidR="001A53B7" w:rsidRPr="001A53B7" w:rsidRDefault="001A53B7" w:rsidP="007B060F">
      <w:pPr>
        <w:spacing w:after="240" w:line="21" w:lineRule="atLeast"/>
        <w:ind w:firstLine="360"/>
        <w:jc w:val="both"/>
        <w:rPr>
          <w:rFonts w:ascii="Book Antiqua" w:hAnsi="Book Antiqua"/>
          <w:lang w:val="es-ES_tradnl"/>
        </w:rPr>
      </w:pPr>
      <w:r w:rsidRPr="001A53B7">
        <w:rPr>
          <w:rFonts w:ascii="Book Antiqua" w:eastAsia="Times New Roman" w:hAnsi="Book Antiqua" w:cs="Times New Roman"/>
          <w:kern w:val="0"/>
          <w:szCs w:val="20"/>
          <w:lang w:val="es-ES_tradnl"/>
          <w14:ligatures w14:val="none"/>
        </w:rPr>
        <w:t xml:space="preserve">Por otro lado, el CAPR comentó que, en cuanto a la disposición relativa a la Ley de Armas de Puerto Rico, la concesión de poseer o portar armas no debe depender de la edad de la persona solicitante, sino de otros criterios a fines a la política pública de control y manejo del crimen y trasiego de armas, entre otros. Por último, se nos aconsejó a establecer un plazo de vigencia más amplio para la implementación y vigencia inmediata del posible estatuto, mostrando reparos con el texto propuesto en el Artículo 24 del Proyecto. Ello posibilitaría un periodo de adiestramiento a las y los abogados, jueces y otros funcionarios de la profesión legal en </w:t>
      </w:r>
      <w:r w:rsidR="0051215D">
        <w:rPr>
          <w:rFonts w:ascii="Book Antiqua" w:eastAsia="Times New Roman" w:hAnsi="Book Antiqua" w:cs="Times New Roman"/>
          <w:kern w:val="0"/>
          <w:szCs w:val="20"/>
          <w:lang w:val="es-ES_tradnl"/>
          <w14:ligatures w14:val="none"/>
        </w:rPr>
        <w:t>Puerto Rico</w:t>
      </w:r>
      <w:r w:rsidRPr="001A53B7">
        <w:rPr>
          <w:rFonts w:ascii="Book Antiqua" w:eastAsia="Times New Roman" w:hAnsi="Book Antiqua" w:cs="Times New Roman"/>
          <w:kern w:val="0"/>
          <w:szCs w:val="20"/>
          <w:lang w:val="es-ES_tradnl"/>
          <w14:ligatures w14:val="none"/>
        </w:rPr>
        <w:t>.</w:t>
      </w:r>
    </w:p>
    <w:p w14:paraId="25381E02" w14:textId="77777777" w:rsidR="001A53B7" w:rsidRPr="007758EC" w:rsidRDefault="001A53B7" w:rsidP="007B060F">
      <w:pPr>
        <w:numPr>
          <w:ilvl w:val="0"/>
          <w:numId w:val="1"/>
        </w:numPr>
        <w:spacing w:after="240" w:line="21" w:lineRule="atLeast"/>
        <w:jc w:val="both"/>
        <w:rPr>
          <w:rFonts w:ascii="Book Antiqua" w:hAnsi="Book Antiqua"/>
          <w:b/>
          <w:bCs/>
          <w:u w:val="single"/>
          <w:lang w:val="es-ES_tradnl"/>
        </w:rPr>
      </w:pPr>
      <w:r w:rsidRPr="007758EC">
        <w:rPr>
          <w:rFonts w:ascii="Book Antiqua" w:hAnsi="Book Antiqua"/>
          <w:b/>
          <w:bCs/>
          <w:u w:val="single"/>
          <w:lang w:val="es-ES_tradnl"/>
        </w:rPr>
        <w:t>Universidad de Puerto Rico</w:t>
      </w:r>
    </w:p>
    <w:p w14:paraId="74E3EF7E" w14:textId="76C8E699" w:rsidR="001A53B7" w:rsidRPr="001A53B7" w:rsidRDefault="007758EC" w:rsidP="007B060F">
      <w:pPr>
        <w:spacing w:after="240" w:line="21" w:lineRule="atLeast"/>
        <w:ind w:firstLine="360"/>
        <w:jc w:val="both"/>
        <w:rPr>
          <w:rFonts w:ascii="Book Antiqua" w:hAnsi="Book Antiqua"/>
          <w:lang w:val="es-ES_tradnl"/>
        </w:rPr>
      </w:pPr>
      <w:r>
        <w:rPr>
          <w:rFonts w:ascii="Book Antiqua" w:hAnsi="Book Antiqua"/>
          <w:lang w:val="es-ES_tradnl"/>
        </w:rPr>
        <w:t>El</w:t>
      </w:r>
      <w:r w:rsidR="001A53B7" w:rsidRPr="001A53B7">
        <w:rPr>
          <w:rFonts w:ascii="Book Antiqua" w:hAnsi="Book Antiqua"/>
          <w:lang w:val="es-ES_tradnl"/>
        </w:rPr>
        <w:t xml:space="preserve"> Dr. Luis A. Ferrao, presidente de la UPR, </w:t>
      </w:r>
      <w:r w:rsidR="001A53B7" w:rsidRPr="007758EC">
        <w:rPr>
          <w:rFonts w:ascii="Book Antiqua" w:hAnsi="Book Antiqua"/>
          <w:lang w:val="es-ES_tradnl"/>
        </w:rPr>
        <w:t>no mostró reparos ante las enmiendas propuestas por el P. del S. 920</w:t>
      </w:r>
      <w:r w:rsidR="001A53B7" w:rsidRPr="001A53B7">
        <w:rPr>
          <w:rFonts w:ascii="Book Antiqua" w:hAnsi="Book Antiqua"/>
          <w:lang w:val="es-ES_tradnl"/>
        </w:rPr>
        <w:t>. De su análisis, el máximo rector de la Universidad destacó que, en la actualidad, el sistema jurídico puertorriqueño cuenta con varias disposiciones legales que establecen la mayoría de edad a los 18 años (ejemplo de ello, las disposiciones del Código Penal; la emancipación bajo el Código Civil de 2020; y el inciso (a) del Artículo 3 de la Ley Núm. 88-1986, según enmendada, “Ley de Menores de Puerto Rico”). Pese a que la medida no incide directamente sobre los servicios y oportunidades que ofrece la UPR, el presidente Ferrao puntualizó lo siguiente:</w:t>
      </w:r>
    </w:p>
    <w:p w14:paraId="67679A86" w14:textId="50406C91" w:rsidR="001A53B7" w:rsidRDefault="001A53B7" w:rsidP="007B060F">
      <w:pPr>
        <w:spacing w:after="240" w:line="21" w:lineRule="atLeast"/>
        <w:ind w:left="1008" w:right="1008"/>
        <w:jc w:val="both"/>
        <w:rPr>
          <w:rFonts w:ascii="Book Antiqua" w:hAnsi="Book Antiqua"/>
          <w:lang w:val="es-ES_tradnl"/>
        </w:rPr>
      </w:pPr>
      <w:r w:rsidRPr="001A53B7">
        <w:rPr>
          <w:rFonts w:ascii="Book Antiqua" w:hAnsi="Book Antiqua"/>
          <w:lang w:val="es-ES_tradnl"/>
        </w:rPr>
        <w:t>Entendemos que, en principio, no debe existir reparos para su aprobación, ya que la misma persigue un fin meritorio que es reconocer de forma amplia y permanente un grado pleno de independencia y responsabilidad a las personas de 18 años, ajustando nuestro estado de derecho a las realidades de Puerto Rico y la práctica mayoritaria de las otras jurisdicciones en Estados Unidos. A la vez, la medida propuesta sigue protegiendo la posibilidad de que esta persona pueda solicitar asistencia de sus padres para continuar sus estudios universitarios, pues tal y como está redactado el proyecto, no enmienda significativamente ni deroga lo establecido por el Código Civil de Puerto Rico, edición de 2020, en su Art 655, al tratar el tema de los gastos de estudios de la persona.</w:t>
      </w:r>
      <w:r w:rsidRPr="001A53B7">
        <w:rPr>
          <w:rFonts w:ascii="Book Antiqua" w:hAnsi="Book Antiqua"/>
          <w:vertAlign w:val="superscript"/>
          <w:lang w:val="es-ES_tradnl"/>
        </w:rPr>
        <w:footnoteReference w:id="28"/>
      </w:r>
    </w:p>
    <w:p w14:paraId="225F44AD" w14:textId="77777777" w:rsidR="00F83CB7" w:rsidRPr="001A53B7" w:rsidRDefault="00F83CB7" w:rsidP="007B060F">
      <w:pPr>
        <w:spacing w:after="240" w:line="21" w:lineRule="atLeast"/>
        <w:ind w:left="1008" w:right="1008"/>
        <w:jc w:val="both"/>
        <w:rPr>
          <w:rFonts w:ascii="Book Antiqua" w:hAnsi="Book Antiqua"/>
          <w:lang w:val="es-ES_tradnl"/>
        </w:rPr>
      </w:pPr>
    </w:p>
    <w:p w14:paraId="0C9FFA4C" w14:textId="77777777" w:rsidR="001A53B7" w:rsidRPr="00F83CB7" w:rsidRDefault="001A53B7" w:rsidP="007B060F">
      <w:pPr>
        <w:numPr>
          <w:ilvl w:val="0"/>
          <w:numId w:val="1"/>
        </w:numPr>
        <w:spacing w:after="240" w:line="21" w:lineRule="atLeast"/>
        <w:jc w:val="both"/>
        <w:rPr>
          <w:rFonts w:ascii="Book Antiqua" w:hAnsi="Book Antiqua"/>
          <w:b/>
          <w:bCs/>
          <w:u w:val="single"/>
          <w:lang w:val="es-ES_tradnl"/>
        </w:rPr>
      </w:pPr>
      <w:r w:rsidRPr="00F83CB7">
        <w:rPr>
          <w:rFonts w:ascii="Book Antiqua" w:hAnsi="Book Antiqua"/>
          <w:b/>
          <w:bCs/>
          <w:u w:val="single"/>
          <w:lang w:val="es-ES_tradnl"/>
        </w:rPr>
        <w:lastRenderedPageBreak/>
        <w:t>Administración de Seguros de Salud</w:t>
      </w:r>
    </w:p>
    <w:p w14:paraId="7051F37F" w14:textId="41F5E4EB" w:rsidR="001A53B7" w:rsidRPr="001A53B7" w:rsidRDefault="001A53B7" w:rsidP="007B060F">
      <w:pPr>
        <w:spacing w:after="240" w:line="21" w:lineRule="atLeast"/>
        <w:ind w:firstLine="360"/>
        <w:jc w:val="both"/>
        <w:rPr>
          <w:rFonts w:ascii="Book Antiqua" w:hAnsi="Book Antiqua"/>
          <w:lang w:val="es-ES_tradnl"/>
        </w:rPr>
      </w:pPr>
      <w:r w:rsidRPr="001A53B7">
        <w:rPr>
          <w:rFonts w:ascii="Book Antiqua" w:hAnsi="Book Antiqua"/>
          <w:lang w:val="es-ES_tradnl"/>
        </w:rPr>
        <w:t xml:space="preserve">La </w:t>
      </w:r>
      <w:r w:rsidR="00F83CB7" w:rsidRPr="001A53B7">
        <w:rPr>
          <w:rFonts w:ascii="Book Antiqua" w:hAnsi="Book Antiqua"/>
          <w:lang w:val="es-ES_tradnl"/>
        </w:rPr>
        <w:t>directora ejecutiva</w:t>
      </w:r>
      <w:r w:rsidRPr="001A53B7">
        <w:rPr>
          <w:rFonts w:ascii="Book Antiqua" w:hAnsi="Book Antiqua"/>
          <w:lang w:val="es-ES_tradnl"/>
        </w:rPr>
        <w:t xml:space="preserve"> de la ASES, Edna Y. Marín Ramos, </w:t>
      </w:r>
      <w:r w:rsidRPr="00F83CB7">
        <w:rPr>
          <w:rFonts w:ascii="Book Antiqua" w:hAnsi="Book Antiqua"/>
          <w:lang w:val="es-ES_tradnl"/>
        </w:rPr>
        <w:t>no presentó objeción a la aprobación del P. del S. 920</w:t>
      </w:r>
      <w:r w:rsidRPr="001A53B7">
        <w:rPr>
          <w:rFonts w:ascii="Book Antiqua" w:hAnsi="Book Antiqua"/>
          <w:lang w:val="es-ES_tradnl"/>
        </w:rPr>
        <w:t>, puesto que, equipararía la edad de los solicitantes del Plan de Salud del Gobierno de Puerto Rico a los requisitos del gobierno federal, particularmente los servicios de Medicaid. Precisamente, el Departamento de Salud y Servicios Humanos de los Estados Unidos de América (“DHHS”, por sus siglas en inglés) establece que solo las personas de 18 años o más podrán solicitar los servicios de este programa federal. No obstante, por reconocer que la presente medida incide sobre otras leyes fundamentales, la ASES otorgó deferencia a los comentarios que a bien tengan someter la Administración de Familias y Niños; el Departamento de Justicia; el Departamento de Salud; la Administración de Tribunales; y la Administración, para el Sustento de Menores.</w:t>
      </w:r>
    </w:p>
    <w:p w14:paraId="069D8F19" w14:textId="317F6EB2" w:rsidR="00712075" w:rsidRPr="00F96B9F" w:rsidRDefault="00712075" w:rsidP="007B060F">
      <w:pPr>
        <w:numPr>
          <w:ilvl w:val="0"/>
          <w:numId w:val="1"/>
        </w:numPr>
        <w:spacing w:after="240" w:line="21" w:lineRule="atLeast"/>
        <w:jc w:val="both"/>
        <w:rPr>
          <w:rFonts w:ascii="Book Antiqua" w:hAnsi="Book Antiqua"/>
          <w:b/>
          <w:bCs/>
          <w:u w:val="single"/>
          <w:lang w:val="es-ES_tradnl"/>
        </w:rPr>
      </w:pPr>
      <w:r w:rsidRPr="00F96B9F">
        <w:rPr>
          <w:rFonts w:ascii="Book Antiqua" w:hAnsi="Book Antiqua"/>
          <w:b/>
          <w:bCs/>
          <w:u w:val="single"/>
          <w:lang w:val="es-ES_tradnl"/>
        </w:rPr>
        <w:t>Oficina de Gerencia y Presupuesto</w:t>
      </w:r>
    </w:p>
    <w:p w14:paraId="1DE47ECE" w14:textId="50595F68" w:rsidR="00152E58" w:rsidRPr="00152E58" w:rsidRDefault="00F96B9F" w:rsidP="007B060F">
      <w:pPr>
        <w:spacing w:after="240" w:line="21" w:lineRule="atLeast"/>
        <w:ind w:firstLine="360"/>
        <w:jc w:val="both"/>
        <w:rPr>
          <w:rFonts w:ascii="Book Antiqua" w:hAnsi="Book Antiqua"/>
          <w:lang w:val="es-ES_tradnl"/>
        </w:rPr>
      </w:pPr>
      <w:r>
        <w:rPr>
          <w:rFonts w:ascii="Book Antiqua" w:hAnsi="Book Antiqua"/>
          <w:lang w:val="es-ES_tradnl"/>
        </w:rPr>
        <w:t>E</w:t>
      </w:r>
      <w:r w:rsidR="00152E58" w:rsidRPr="00152E58">
        <w:rPr>
          <w:rFonts w:ascii="Book Antiqua" w:hAnsi="Book Antiqua"/>
          <w:lang w:val="es-ES_tradnl"/>
        </w:rPr>
        <w:t xml:space="preserve">l director de la OGP, Lcdo. Juan Carlos Blanco Urrutia, </w:t>
      </w:r>
      <w:r>
        <w:rPr>
          <w:rFonts w:ascii="Book Antiqua" w:hAnsi="Book Antiqua"/>
          <w:lang w:val="es-ES_tradnl"/>
        </w:rPr>
        <w:t xml:space="preserve">informó </w:t>
      </w:r>
      <w:r w:rsidR="00152E58" w:rsidRPr="00F96B9F">
        <w:rPr>
          <w:rFonts w:ascii="Book Antiqua" w:hAnsi="Book Antiqua"/>
          <w:lang w:val="es-ES_tradnl"/>
        </w:rPr>
        <w:t xml:space="preserve">no </w:t>
      </w:r>
      <w:r w:rsidRPr="00F96B9F">
        <w:rPr>
          <w:rFonts w:ascii="Book Antiqua" w:hAnsi="Book Antiqua"/>
          <w:lang w:val="es-ES_tradnl"/>
        </w:rPr>
        <w:t xml:space="preserve">tener </w:t>
      </w:r>
      <w:r w:rsidR="00152E58" w:rsidRPr="00F96B9F">
        <w:rPr>
          <w:rFonts w:ascii="Book Antiqua" w:hAnsi="Book Antiqua"/>
          <w:lang w:val="es-ES_tradnl"/>
        </w:rPr>
        <w:t xml:space="preserve"> objeción a lo propuesto por el P. del S. 920</w:t>
      </w:r>
      <w:r w:rsidR="00152E58" w:rsidRPr="00152E58">
        <w:rPr>
          <w:rFonts w:ascii="Book Antiqua" w:hAnsi="Book Antiqua"/>
          <w:lang w:val="es-ES_tradnl"/>
        </w:rPr>
        <w:t xml:space="preserve">. </w:t>
      </w:r>
      <w:r>
        <w:rPr>
          <w:rFonts w:ascii="Book Antiqua" w:hAnsi="Book Antiqua"/>
          <w:lang w:val="es-ES_tradnl"/>
        </w:rPr>
        <w:t>Además</w:t>
      </w:r>
      <w:r w:rsidR="00152E58" w:rsidRPr="00152E58">
        <w:rPr>
          <w:rFonts w:ascii="Book Antiqua" w:hAnsi="Book Antiqua"/>
          <w:lang w:val="es-ES_tradnl"/>
        </w:rPr>
        <w:t xml:space="preserve">, destacó que el proyecto no pone en riesgo ninguna asignación de recursos federales, y así lo </w:t>
      </w:r>
      <w:r>
        <w:rPr>
          <w:rFonts w:ascii="Book Antiqua" w:hAnsi="Book Antiqua"/>
          <w:lang w:val="es-ES_tradnl"/>
        </w:rPr>
        <w:t>dejó</w:t>
      </w:r>
      <w:r w:rsidR="00152E58" w:rsidRPr="00152E58">
        <w:rPr>
          <w:rFonts w:ascii="Book Antiqua" w:hAnsi="Book Antiqua"/>
          <w:lang w:val="es-ES_tradnl"/>
        </w:rPr>
        <w:t xml:space="preserve"> constatado en el siguiente comentario:</w:t>
      </w:r>
    </w:p>
    <w:p w14:paraId="3B13522F" w14:textId="200DA641" w:rsidR="00152E58" w:rsidRPr="00152E58" w:rsidRDefault="00152E58" w:rsidP="007B060F">
      <w:pPr>
        <w:spacing w:after="240" w:line="21" w:lineRule="atLeast"/>
        <w:ind w:left="1008" w:right="1008"/>
        <w:jc w:val="both"/>
        <w:rPr>
          <w:rFonts w:ascii="Book Antiqua" w:hAnsi="Book Antiqua"/>
          <w:lang w:val="es-ES_tradnl"/>
        </w:rPr>
      </w:pPr>
      <w:r w:rsidRPr="00152E58">
        <w:rPr>
          <w:rFonts w:ascii="Book Antiqua" w:hAnsi="Book Antiqua"/>
          <w:lang w:val="es-ES_tradnl"/>
        </w:rPr>
        <w:t>En términos generales, no prevemos un impacto adverso sobre las asignaciones federales que recibe nuestra jurisdicción ni sobre el presupuesto estatal, de aprobarse una modificación en la minoridad legal, como la propuesta en la medida bajo estudio. De igual forma, la minoridad actual reconocida en nuestro ordenamiento jurídico no ha tenido como resultado pérdida de fondos federales, ni impacto fiscal y presupuestario adverso.</w:t>
      </w:r>
      <w:r>
        <w:rPr>
          <w:rStyle w:val="FootnoteReference"/>
          <w:rFonts w:ascii="Book Antiqua" w:hAnsi="Book Antiqua"/>
          <w:lang w:val="es-ES_tradnl"/>
        </w:rPr>
        <w:footnoteReference w:id="29"/>
      </w:r>
    </w:p>
    <w:p w14:paraId="12F750B1" w14:textId="3EE8DE1B" w:rsidR="001A53B7" w:rsidRPr="00C4332D" w:rsidRDefault="001A53B7" w:rsidP="007B060F">
      <w:pPr>
        <w:numPr>
          <w:ilvl w:val="0"/>
          <w:numId w:val="1"/>
        </w:numPr>
        <w:spacing w:after="240" w:line="21" w:lineRule="atLeast"/>
        <w:jc w:val="both"/>
        <w:rPr>
          <w:rFonts w:ascii="Book Antiqua" w:hAnsi="Book Antiqua"/>
          <w:b/>
          <w:bCs/>
          <w:u w:val="single"/>
          <w:lang w:val="es-ES_tradnl"/>
        </w:rPr>
      </w:pPr>
      <w:r w:rsidRPr="00C4332D">
        <w:rPr>
          <w:rFonts w:ascii="Book Antiqua" w:hAnsi="Book Antiqua"/>
          <w:b/>
          <w:bCs/>
          <w:u w:val="single"/>
          <w:lang w:val="es-ES_tradnl"/>
        </w:rPr>
        <w:t>Instituto del Desarrollo de la Juventud</w:t>
      </w:r>
    </w:p>
    <w:p w14:paraId="34DF4C06" w14:textId="7D14AD7D" w:rsidR="001A53B7" w:rsidRPr="001A53B7" w:rsidRDefault="001A53B7" w:rsidP="007B060F">
      <w:pPr>
        <w:spacing w:after="240" w:line="21" w:lineRule="atLeast"/>
        <w:ind w:firstLine="360"/>
        <w:jc w:val="both"/>
        <w:rPr>
          <w:rFonts w:ascii="Book Antiqua" w:eastAsia="Times New Roman" w:hAnsi="Book Antiqua" w:cs="Times New Roman"/>
          <w:kern w:val="0"/>
          <w:szCs w:val="20"/>
          <w:lang w:val="es-ES_tradnl"/>
          <w14:ligatures w14:val="none"/>
        </w:rPr>
      </w:pPr>
      <w:r w:rsidRPr="001A53B7">
        <w:rPr>
          <w:rFonts w:ascii="Book Antiqua" w:eastAsia="Times New Roman" w:hAnsi="Book Antiqua" w:cs="Times New Roman"/>
          <w:kern w:val="0"/>
          <w:szCs w:val="20"/>
          <w:lang w:val="es-ES_tradnl"/>
          <w14:ligatures w14:val="none"/>
        </w:rPr>
        <w:t xml:space="preserve">La </w:t>
      </w:r>
      <w:r w:rsidR="00C4332D" w:rsidRPr="001A53B7">
        <w:rPr>
          <w:rFonts w:ascii="Book Antiqua" w:eastAsia="Times New Roman" w:hAnsi="Book Antiqua" w:cs="Times New Roman"/>
          <w:kern w:val="0"/>
          <w:szCs w:val="20"/>
          <w:lang w:val="es-ES_tradnl"/>
          <w14:ligatures w14:val="none"/>
        </w:rPr>
        <w:t>directora</w:t>
      </w:r>
      <w:r w:rsidRPr="001A53B7">
        <w:rPr>
          <w:rFonts w:ascii="Book Antiqua" w:eastAsia="Times New Roman" w:hAnsi="Book Antiqua" w:cs="Times New Roman"/>
          <w:kern w:val="0"/>
          <w:szCs w:val="20"/>
          <w:lang w:val="es-ES_tradnl"/>
          <w14:ligatures w14:val="none"/>
        </w:rPr>
        <w:t xml:space="preserve"> de Investigación del Instituto, Dra. María E. Enchautegui, expresó sus comentarios en torno al P. del S. 920 y estableció, para récord, que las estadísticas más recientes muestran una alarmante realidad sobre los índices de pobreza y fuerza laboral de la población juvenil en Puerto Rico. Específicamente, la doctora indicó lo siguiente:</w:t>
      </w:r>
    </w:p>
    <w:p w14:paraId="75746515" w14:textId="37D5179C" w:rsidR="001A53B7" w:rsidRPr="001A53B7" w:rsidRDefault="001A53B7" w:rsidP="007B060F">
      <w:pPr>
        <w:spacing w:after="240" w:line="21" w:lineRule="atLeast"/>
        <w:ind w:left="1008" w:right="1008"/>
        <w:jc w:val="both"/>
        <w:rPr>
          <w:rFonts w:ascii="Book Antiqua" w:eastAsia="Times New Roman" w:hAnsi="Book Antiqua" w:cs="Times New Roman"/>
          <w:kern w:val="0"/>
          <w:szCs w:val="20"/>
          <w:lang w:val="es-ES_tradnl"/>
          <w14:ligatures w14:val="none"/>
        </w:rPr>
      </w:pPr>
      <w:r w:rsidRPr="001A53B7">
        <w:rPr>
          <w:rFonts w:ascii="Book Antiqua" w:eastAsia="Times New Roman" w:hAnsi="Book Antiqua" w:cs="Times New Roman"/>
          <w:kern w:val="0"/>
          <w:szCs w:val="20"/>
          <w:lang w:val="es-ES_tradnl"/>
          <w14:ligatures w14:val="none"/>
        </w:rPr>
        <w:t xml:space="preserve">Según los estimados más recientes, en Puerto Rico hay aproximadamente 143,000 jóvenes de 18 a 20 </w:t>
      </w:r>
      <w:r w:rsidR="00C4332D" w:rsidRPr="001A53B7">
        <w:rPr>
          <w:rFonts w:ascii="Book Antiqua" w:eastAsia="Times New Roman" w:hAnsi="Book Antiqua" w:cs="Times New Roman"/>
          <w:kern w:val="0"/>
          <w:szCs w:val="20"/>
          <w:lang w:val="es-ES_tradnl"/>
          <w14:ligatures w14:val="none"/>
        </w:rPr>
        <w:t>años</w:t>
      </w:r>
      <w:r w:rsidRPr="001A53B7">
        <w:rPr>
          <w:rFonts w:ascii="Book Antiqua" w:eastAsia="Times New Roman" w:hAnsi="Book Antiqua" w:cs="Times New Roman"/>
          <w:kern w:val="0"/>
          <w:szCs w:val="20"/>
          <w:lang w:val="es-ES_tradnl"/>
          <w14:ligatures w14:val="none"/>
        </w:rPr>
        <w:t xml:space="preserve">. De estos, el 46% vive bajo el nivel de pobreza y otro 18% cerca del nivel de pobreza. Es decir, 6 de cada 10 jóvenes entre 18 y 20 años viven en precariedad económica que puede representar un obstáculo para independizarse económicamente. </w:t>
      </w:r>
    </w:p>
    <w:p w14:paraId="0D56CDD8" w14:textId="03A61D84" w:rsidR="001A53B7" w:rsidRPr="001A53B7" w:rsidRDefault="001A53B7" w:rsidP="007B060F">
      <w:pPr>
        <w:spacing w:after="240" w:line="21" w:lineRule="atLeast"/>
        <w:ind w:left="1008" w:right="1008"/>
        <w:jc w:val="both"/>
        <w:rPr>
          <w:rFonts w:ascii="Book Antiqua" w:eastAsia="Times New Roman" w:hAnsi="Book Antiqua" w:cs="Times New Roman"/>
          <w:kern w:val="0"/>
          <w:szCs w:val="20"/>
          <w:lang w:val="es-ES_tradnl"/>
          <w14:ligatures w14:val="none"/>
        </w:rPr>
      </w:pPr>
      <w:r w:rsidRPr="001A53B7">
        <w:rPr>
          <w:rFonts w:ascii="Book Antiqua" w:eastAsia="Times New Roman" w:hAnsi="Book Antiqua" w:cs="Times New Roman"/>
          <w:kern w:val="0"/>
          <w:szCs w:val="20"/>
          <w:lang w:val="es-ES_tradnl"/>
          <w14:ligatures w14:val="none"/>
        </w:rPr>
        <w:lastRenderedPageBreak/>
        <w:t xml:space="preserve">De la totalidad de jóvenes en este rango de edad, 65% no está en la fuerza laboral, mientras que 67% está activamente matriculado o matriculada en una escuela o universidad pública o privada. Es importante destacar que de los jóvenes en esta edad que no están en la fuerza </w:t>
      </w:r>
      <w:r w:rsidR="00893A37">
        <w:rPr>
          <w:rFonts w:ascii="Book Antiqua" w:eastAsia="Times New Roman" w:hAnsi="Book Antiqua" w:cs="Times New Roman"/>
          <w:kern w:val="0"/>
          <w:szCs w:val="20"/>
          <w:lang w:val="es-ES_tradnl"/>
          <w14:ligatures w14:val="none"/>
        </w:rPr>
        <w:t>l</w:t>
      </w:r>
      <w:r w:rsidRPr="001A53B7">
        <w:rPr>
          <w:rFonts w:ascii="Book Antiqua" w:eastAsia="Times New Roman" w:hAnsi="Book Antiqua" w:cs="Times New Roman"/>
          <w:kern w:val="0"/>
          <w:szCs w:val="20"/>
          <w:lang w:val="es-ES_tradnl"/>
          <w14:ligatures w14:val="none"/>
        </w:rPr>
        <w:t>aboral, 3 de cada 4 está cursando estudios. Por otro lado, el 11% de los jóvenes entre 18 y 20 años (aproximadamente 16,000) está activamente buscando empleo, muchos de estos aún mientras cursan estudios. En el 2014, el Departamento de la Familia contaba con una población en custodia de 1,697 menores entre los 18 y 21 años de edad. Para el 2020 se refleja que la cantidad era menos de 1,099. Según el Conteo de Personas Sin Hogar del 2022, 4.4% de las personas sin hogar son jóvenes entre 18 y 24 años de edad.</w:t>
      </w:r>
      <w:r w:rsidRPr="001A53B7">
        <w:rPr>
          <w:rFonts w:ascii="Book Antiqua" w:eastAsia="Times New Roman" w:hAnsi="Book Antiqua" w:cs="Times New Roman"/>
          <w:kern w:val="0"/>
          <w:szCs w:val="20"/>
          <w:vertAlign w:val="superscript"/>
          <w:lang w:val="es-ES_tradnl"/>
          <w14:ligatures w14:val="none"/>
        </w:rPr>
        <w:footnoteReference w:id="30"/>
      </w:r>
      <w:r w:rsidRPr="001A53B7">
        <w:rPr>
          <w:rFonts w:ascii="Book Antiqua" w:eastAsia="Times New Roman" w:hAnsi="Book Antiqua" w:cs="Times New Roman"/>
          <w:kern w:val="0"/>
          <w:szCs w:val="20"/>
          <w:lang w:val="es-ES_tradnl"/>
          <w14:ligatures w14:val="none"/>
        </w:rPr>
        <w:t xml:space="preserve"> </w:t>
      </w:r>
    </w:p>
    <w:p w14:paraId="56238AA5" w14:textId="77777777" w:rsidR="001A53B7" w:rsidRPr="001A53B7" w:rsidRDefault="001A53B7" w:rsidP="007B060F">
      <w:pPr>
        <w:spacing w:after="240" w:line="21" w:lineRule="atLeast"/>
        <w:ind w:firstLine="360"/>
        <w:jc w:val="both"/>
        <w:rPr>
          <w:rFonts w:ascii="Book Antiqua" w:eastAsia="Times New Roman" w:hAnsi="Book Antiqua" w:cs="Times New Roman"/>
          <w:kern w:val="0"/>
          <w:szCs w:val="20"/>
          <w:lang w:val="es-ES_tradnl"/>
          <w14:ligatures w14:val="none"/>
        </w:rPr>
      </w:pPr>
      <w:r w:rsidRPr="001A53B7">
        <w:rPr>
          <w:rFonts w:ascii="Book Antiqua" w:eastAsia="Times New Roman" w:hAnsi="Book Antiqua" w:cs="Times New Roman"/>
          <w:kern w:val="0"/>
          <w:szCs w:val="20"/>
          <w:lang w:val="es-ES_tradnl"/>
          <w14:ligatures w14:val="none"/>
        </w:rPr>
        <w:t>Por otra parte, indicó que casi todas las jurisdicciones de los Estados Unidos fijan la mayoría de edad a los 18 años, bajo la cual se otorga autonomía legal para tomar decisiones sobre su persona. No obstante, reconocieron que otros asuntos o áreas del derecho pudieran reconocer una edad distinta, como lo es el consentimiento a relaciones sexuales, ingesta de alcohol, compra de cigarrillos, entre otros. También se nos comentó lo siguiente:</w:t>
      </w:r>
    </w:p>
    <w:p w14:paraId="2C8AB81B" w14:textId="77777777" w:rsidR="001A53B7" w:rsidRPr="001A53B7" w:rsidRDefault="001A53B7" w:rsidP="007B060F">
      <w:pPr>
        <w:spacing w:after="240" w:line="21" w:lineRule="atLeast"/>
        <w:ind w:left="1008" w:right="1008"/>
        <w:jc w:val="both"/>
        <w:rPr>
          <w:rFonts w:ascii="Book Antiqua" w:eastAsia="Times New Roman" w:hAnsi="Book Antiqua" w:cs="Times New Roman"/>
          <w:kern w:val="0"/>
          <w:szCs w:val="20"/>
          <w:lang w:val="es-ES_tradnl"/>
          <w14:ligatures w14:val="none"/>
        </w:rPr>
      </w:pPr>
      <w:r w:rsidRPr="001A53B7">
        <w:rPr>
          <w:rFonts w:ascii="Book Antiqua" w:eastAsia="Times New Roman" w:hAnsi="Book Antiqua" w:cs="Times New Roman"/>
          <w:kern w:val="0"/>
          <w:szCs w:val="20"/>
          <w:lang w:val="es-ES_tradnl"/>
          <w14:ligatures w14:val="none"/>
        </w:rPr>
        <w:t>Aunque se desprende de la medida que la responsabilidad de proveer alimentos permanecería hasta los veinticinco (25) años mientras el joven curse estudios profesionales o vocacionales, no debemos perder de vista que no todo joven comienza estudios al cumplir los dieciocho (18) años de edad. De hecho, 1 de cada 5 (22%) jóvenes de 18 a 21 años de edad no está matriculado, y las razones pueden ser tan diversas como los contextos socio-emocionales en los que se desarrollen o los recursos a los que tengan acceso. Esto incluye jóvenes que están activamente buscando empleo y que, por diversas razones, no consiguen. Estos jóvenes, así como todos los que al cumplir la mayoría de edad propuesta advengan en esa posición, quedarían desprovistos de apoyo económico fundamenta.</w:t>
      </w:r>
      <w:r w:rsidRPr="001A53B7">
        <w:rPr>
          <w:rFonts w:ascii="Book Antiqua" w:eastAsia="Times New Roman" w:hAnsi="Book Antiqua" w:cs="Times New Roman"/>
          <w:kern w:val="0"/>
          <w:szCs w:val="20"/>
          <w:vertAlign w:val="superscript"/>
          <w:lang w:val="es-ES_tradnl"/>
          <w14:ligatures w14:val="none"/>
        </w:rPr>
        <w:footnoteReference w:id="31"/>
      </w:r>
    </w:p>
    <w:p w14:paraId="60C5A751" w14:textId="439D7A89" w:rsidR="001A53B7" w:rsidRPr="001A53B7" w:rsidRDefault="001A53B7" w:rsidP="007B060F">
      <w:pPr>
        <w:spacing w:after="240" w:line="21" w:lineRule="atLeast"/>
        <w:ind w:firstLine="360"/>
        <w:jc w:val="both"/>
        <w:rPr>
          <w:rFonts w:ascii="Book Antiqua" w:eastAsia="Times New Roman" w:hAnsi="Book Antiqua" w:cs="Times New Roman"/>
          <w:kern w:val="0"/>
          <w:szCs w:val="20"/>
          <w:lang w:val="es-ES_tradnl"/>
          <w14:ligatures w14:val="none"/>
        </w:rPr>
      </w:pPr>
      <w:r w:rsidRPr="001A53B7">
        <w:rPr>
          <w:rFonts w:ascii="Book Antiqua" w:eastAsia="Times New Roman" w:hAnsi="Book Antiqua" w:cs="Times New Roman"/>
          <w:kern w:val="0"/>
          <w:szCs w:val="20"/>
          <w:lang w:val="es-ES_tradnl"/>
          <w14:ligatures w14:val="none"/>
        </w:rPr>
        <w:t>Por ello, en ánimos de reducir el rezago económico y laboral de los jóvenes entre 18 y 21 años, el Instituto recomendó a esta Comisión</w:t>
      </w:r>
      <w:r w:rsidRPr="00DE2028">
        <w:rPr>
          <w:rFonts w:ascii="Book Antiqua" w:hAnsi="Book Antiqua"/>
          <w:lang w:val="es-PR"/>
        </w:rPr>
        <w:t xml:space="preserve"> “</w:t>
      </w:r>
      <w:r w:rsidRPr="001A53B7">
        <w:rPr>
          <w:rFonts w:ascii="Book Antiqua" w:eastAsia="Times New Roman" w:hAnsi="Book Antiqua" w:cs="Times New Roman"/>
          <w:kern w:val="0"/>
          <w:szCs w:val="20"/>
          <w:lang w:val="es-ES_tradnl"/>
          <w14:ligatures w14:val="none"/>
        </w:rPr>
        <w:t>mantener a estos jóvenes elegibles para recibir alimentos hasta los veintiún (21) años de edad, aun cuando no cursen estudios cualificados”,</w:t>
      </w:r>
      <w:r w:rsidRPr="001A53B7">
        <w:rPr>
          <w:rFonts w:ascii="Book Antiqua" w:eastAsia="Times New Roman" w:hAnsi="Book Antiqua" w:cs="Times New Roman"/>
          <w:kern w:val="0"/>
          <w:szCs w:val="20"/>
          <w:vertAlign w:val="superscript"/>
          <w:lang w:val="es-ES_tradnl"/>
          <w14:ligatures w14:val="none"/>
        </w:rPr>
        <w:footnoteReference w:id="32"/>
      </w:r>
      <w:r w:rsidRPr="001A53B7">
        <w:rPr>
          <w:rFonts w:ascii="Book Antiqua" w:eastAsia="Times New Roman" w:hAnsi="Book Antiqua" w:cs="Times New Roman"/>
          <w:kern w:val="0"/>
          <w:szCs w:val="20"/>
          <w:lang w:val="es-ES_tradnl"/>
          <w14:ligatures w14:val="none"/>
        </w:rPr>
        <w:t xml:space="preserve"> </w:t>
      </w:r>
      <w:r w:rsidR="002A1A61">
        <w:rPr>
          <w:rFonts w:ascii="Book Antiqua" w:eastAsia="Times New Roman" w:hAnsi="Book Antiqua" w:cs="Times New Roman"/>
          <w:kern w:val="0"/>
          <w:szCs w:val="20"/>
          <w:lang w:val="es-ES_tradnl"/>
          <w14:ligatures w14:val="none"/>
        </w:rPr>
        <w:t>pero</w:t>
      </w:r>
      <w:r w:rsidRPr="001A53B7">
        <w:rPr>
          <w:rFonts w:ascii="Book Antiqua" w:eastAsia="Times New Roman" w:hAnsi="Book Antiqua" w:cs="Times New Roman"/>
          <w:kern w:val="0"/>
          <w:szCs w:val="20"/>
          <w:lang w:val="es-ES_tradnl"/>
          <w14:ligatures w14:val="none"/>
        </w:rPr>
        <w:t xml:space="preserve"> otorgaron deferencia a los comentarios que otras instituciones pudieran suscribir tras ser invitadas.</w:t>
      </w:r>
      <w:r w:rsidRPr="001A53B7">
        <w:rPr>
          <w:rFonts w:ascii="Book Antiqua" w:eastAsia="Times New Roman" w:hAnsi="Book Antiqua" w:cs="Times New Roman"/>
          <w:kern w:val="0"/>
          <w:szCs w:val="20"/>
          <w:vertAlign w:val="superscript"/>
          <w:lang w:val="es-ES_tradnl"/>
          <w14:ligatures w14:val="none"/>
        </w:rPr>
        <w:footnoteReference w:id="33"/>
      </w:r>
      <w:r w:rsidRPr="001A53B7">
        <w:rPr>
          <w:rFonts w:ascii="Book Antiqua" w:eastAsia="Times New Roman" w:hAnsi="Book Antiqua" w:cs="Times New Roman"/>
          <w:kern w:val="0"/>
          <w:szCs w:val="20"/>
          <w:lang w:val="es-ES_tradnl"/>
          <w14:ligatures w14:val="none"/>
        </w:rPr>
        <w:t xml:space="preserve">  </w:t>
      </w:r>
    </w:p>
    <w:p w14:paraId="19B0C185" w14:textId="77777777" w:rsidR="001A53B7" w:rsidRPr="00ED030A" w:rsidRDefault="001A53B7" w:rsidP="007B060F">
      <w:pPr>
        <w:numPr>
          <w:ilvl w:val="0"/>
          <w:numId w:val="1"/>
        </w:numPr>
        <w:spacing w:after="240" w:line="21" w:lineRule="atLeast"/>
        <w:jc w:val="both"/>
        <w:rPr>
          <w:rFonts w:ascii="Book Antiqua" w:hAnsi="Book Antiqua"/>
          <w:b/>
          <w:bCs/>
          <w:u w:val="single"/>
          <w:lang w:val="es-ES_tradnl"/>
        </w:rPr>
      </w:pPr>
      <w:r w:rsidRPr="00ED030A">
        <w:rPr>
          <w:rFonts w:ascii="Book Antiqua" w:hAnsi="Book Antiqua"/>
          <w:b/>
          <w:bCs/>
          <w:u w:val="single"/>
          <w:lang w:val="es-ES_tradnl"/>
        </w:rPr>
        <w:lastRenderedPageBreak/>
        <w:t>Asociación de Compañías de Seguros de Puerto Rico</w:t>
      </w:r>
    </w:p>
    <w:p w14:paraId="2CFCBECB" w14:textId="2C1FB983" w:rsidR="001A53B7" w:rsidRDefault="001A53B7" w:rsidP="007B060F">
      <w:pPr>
        <w:spacing w:after="240" w:line="21" w:lineRule="atLeast"/>
        <w:ind w:firstLine="360"/>
        <w:jc w:val="both"/>
        <w:rPr>
          <w:rFonts w:ascii="Book Antiqua" w:hAnsi="Book Antiqua"/>
          <w:lang w:val="es-ES_tradnl"/>
        </w:rPr>
      </w:pPr>
      <w:r w:rsidRPr="001A53B7">
        <w:rPr>
          <w:rFonts w:ascii="Book Antiqua" w:hAnsi="Book Antiqua"/>
          <w:lang w:val="es-ES_tradnl"/>
        </w:rPr>
        <w:t xml:space="preserve">Por conducto de la Lcda. Iraelia Pernas, directora ejecutiva, la ACODESE expresó </w:t>
      </w:r>
      <w:r w:rsidR="00DF0F73">
        <w:rPr>
          <w:rFonts w:ascii="Book Antiqua" w:hAnsi="Book Antiqua"/>
          <w:lang w:val="es-ES_tradnl"/>
        </w:rPr>
        <w:t>no tener</w:t>
      </w:r>
      <w:r w:rsidRPr="001A53B7">
        <w:rPr>
          <w:rFonts w:ascii="Book Antiqua" w:hAnsi="Book Antiqua"/>
          <w:lang w:val="es-ES_tradnl"/>
        </w:rPr>
        <w:t xml:space="preserve"> “señalamientos con relación al P. del S. 920. Sin embargo, recomendamos auscultar con las entidades y agencias pertinentes sobre el propósito perseguido mediante la presente legislación y brindamos entera deferencia a los comentarios que a bien tengan por someter las mismas”.</w:t>
      </w:r>
      <w:r w:rsidRPr="001A53B7">
        <w:rPr>
          <w:rFonts w:ascii="Book Antiqua" w:hAnsi="Book Antiqua"/>
          <w:vertAlign w:val="superscript"/>
          <w:lang w:val="es-ES_tradnl"/>
        </w:rPr>
        <w:footnoteReference w:id="34"/>
      </w:r>
    </w:p>
    <w:p w14:paraId="7730436A" w14:textId="77777777" w:rsidR="001A53B7" w:rsidRPr="00ED030A" w:rsidRDefault="001A53B7" w:rsidP="007B060F">
      <w:pPr>
        <w:numPr>
          <w:ilvl w:val="0"/>
          <w:numId w:val="1"/>
        </w:numPr>
        <w:spacing w:after="240" w:line="21" w:lineRule="atLeast"/>
        <w:jc w:val="both"/>
        <w:rPr>
          <w:rFonts w:ascii="Book Antiqua" w:hAnsi="Book Antiqua"/>
          <w:b/>
          <w:bCs/>
          <w:u w:val="single"/>
          <w:lang w:val="es-ES_tradnl"/>
        </w:rPr>
      </w:pPr>
      <w:r w:rsidRPr="00ED030A">
        <w:rPr>
          <w:rFonts w:ascii="Book Antiqua" w:hAnsi="Book Antiqua"/>
          <w:b/>
          <w:bCs/>
          <w:u w:val="single"/>
          <w:lang w:val="es-ES_tradnl"/>
        </w:rPr>
        <w:t>Asociación de Bancos de Puerto Rico</w:t>
      </w:r>
    </w:p>
    <w:p w14:paraId="11973944" w14:textId="306C714A" w:rsidR="001A53B7" w:rsidRPr="001A53B7" w:rsidRDefault="001A53B7" w:rsidP="007B060F">
      <w:pPr>
        <w:spacing w:after="240" w:line="21" w:lineRule="atLeast"/>
        <w:ind w:firstLine="360"/>
        <w:jc w:val="both"/>
        <w:rPr>
          <w:rFonts w:ascii="Book Antiqua" w:hAnsi="Book Antiqua"/>
          <w:lang w:val="es-ES_tradnl"/>
        </w:rPr>
      </w:pPr>
      <w:r w:rsidRPr="001A53B7">
        <w:rPr>
          <w:rFonts w:ascii="Book Antiqua" w:hAnsi="Book Antiqua"/>
          <w:lang w:val="es-ES_tradnl"/>
        </w:rPr>
        <w:t xml:space="preserve">La Lcda. Zoimé Álvarez Rubio, vicepresidenta ejecutiva, </w:t>
      </w:r>
      <w:r w:rsidRPr="00ED030A">
        <w:rPr>
          <w:rFonts w:ascii="Book Antiqua" w:hAnsi="Book Antiqua"/>
          <w:lang w:val="es-ES_tradnl"/>
        </w:rPr>
        <w:t>expresó su aval a las enmiendas propuestas por el P. del S. 920</w:t>
      </w:r>
      <w:r w:rsidRPr="001A53B7">
        <w:rPr>
          <w:rFonts w:ascii="Book Antiqua" w:hAnsi="Book Antiqua"/>
          <w:lang w:val="es-ES_tradnl"/>
        </w:rPr>
        <w:t xml:space="preserve">, e indicó coincidir con establecer la mayoría de edad a los 18 años. </w:t>
      </w:r>
      <w:r w:rsidR="00DE2028">
        <w:rPr>
          <w:rFonts w:ascii="Book Antiqua" w:hAnsi="Book Antiqua"/>
          <w:lang w:val="es-ES_tradnl"/>
        </w:rPr>
        <w:t>En ese sentido</w:t>
      </w:r>
      <w:r w:rsidRPr="001A53B7">
        <w:rPr>
          <w:rFonts w:ascii="Book Antiqua" w:hAnsi="Book Antiqua"/>
          <w:lang w:val="es-ES_tradnl"/>
        </w:rPr>
        <w:t>,</w:t>
      </w:r>
      <w:r w:rsidR="00DE2028">
        <w:rPr>
          <w:rFonts w:ascii="Book Antiqua" w:hAnsi="Book Antiqua"/>
          <w:lang w:val="es-ES_tradnl"/>
        </w:rPr>
        <w:t xml:space="preserve"> </w:t>
      </w:r>
      <w:r w:rsidR="00ED030A">
        <w:rPr>
          <w:rFonts w:ascii="Book Antiqua" w:hAnsi="Book Antiqua"/>
          <w:lang w:val="es-ES_tradnl"/>
        </w:rPr>
        <w:t>comentó</w:t>
      </w:r>
      <w:r w:rsidRPr="001A53B7">
        <w:rPr>
          <w:rFonts w:ascii="Book Antiqua" w:hAnsi="Book Antiqua"/>
          <w:lang w:val="es-ES_tradnl"/>
        </w:rPr>
        <w:t xml:space="preserve"> lo siguiente:</w:t>
      </w:r>
    </w:p>
    <w:p w14:paraId="717C8DA3" w14:textId="64AD6CA2" w:rsidR="001A53B7" w:rsidRPr="001A53B7" w:rsidRDefault="001A53B7" w:rsidP="007B060F">
      <w:pPr>
        <w:spacing w:after="240" w:line="21" w:lineRule="atLeast"/>
        <w:ind w:left="1008" w:right="1008"/>
        <w:jc w:val="both"/>
        <w:rPr>
          <w:rFonts w:ascii="Book Antiqua" w:hAnsi="Book Antiqua"/>
          <w:lang w:val="es-ES_tradnl"/>
        </w:rPr>
      </w:pPr>
      <w:r w:rsidRPr="001A53B7">
        <w:rPr>
          <w:rFonts w:ascii="Book Antiqua" w:hAnsi="Book Antiqua"/>
          <w:lang w:val="es-ES_tradnl"/>
        </w:rPr>
        <w:t>La Asociación coincide con las expresiones en la Exposición de Motivos del Proyecto que establecen la necesidad de proveer a las personas desde los dieciocho (18) años con la capacidad legal necesaria para que puedan entrar en la fuerza laboral e independizarse económicamente, ajustando a nuestra jurisdicción a las realidades de los tiempos actuales tal como ha ocurrido en otras jurisdicciones de los Estados Unidos y a nivel mundial.</w:t>
      </w:r>
      <w:r w:rsidRPr="001A53B7">
        <w:rPr>
          <w:rFonts w:ascii="Book Antiqua" w:hAnsi="Book Antiqua"/>
          <w:vertAlign w:val="superscript"/>
          <w:lang w:val="es-ES_tradnl"/>
        </w:rPr>
        <w:footnoteReference w:id="35"/>
      </w:r>
      <w:r w:rsidRPr="001A53B7">
        <w:rPr>
          <w:rFonts w:ascii="Book Antiqua" w:hAnsi="Book Antiqua"/>
          <w:lang w:val="es-ES_tradnl"/>
        </w:rPr>
        <w:t xml:space="preserve"> </w:t>
      </w:r>
    </w:p>
    <w:p w14:paraId="52529F4C" w14:textId="39E69252" w:rsidR="001A53B7" w:rsidRPr="001A53B7" w:rsidRDefault="001A53B7" w:rsidP="007B060F">
      <w:pPr>
        <w:spacing w:after="240" w:line="21" w:lineRule="atLeast"/>
        <w:ind w:firstLine="432"/>
        <w:jc w:val="both"/>
        <w:rPr>
          <w:rFonts w:ascii="Book Antiqua" w:hAnsi="Book Antiqua"/>
          <w:lang w:val="es-ES_tradnl"/>
        </w:rPr>
      </w:pPr>
      <w:r w:rsidRPr="001A53B7">
        <w:rPr>
          <w:rFonts w:ascii="Book Antiqua" w:hAnsi="Book Antiqua"/>
          <w:lang w:val="es-ES_tradnl"/>
        </w:rPr>
        <w:t xml:space="preserve">A tales efectos, </w:t>
      </w:r>
      <w:r w:rsidR="00ED030A">
        <w:rPr>
          <w:rFonts w:ascii="Book Antiqua" w:hAnsi="Book Antiqua"/>
          <w:lang w:val="es-ES_tradnl"/>
        </w:rPr>
        <w:t>indicó</w:t>
      </w:r>
      <w:r w:rsidRPr="001A53B7">
        <w:rPr>
          <w:rFonts w:ascii="Book Antiqua" w:hAnsi="Book Antiqua"/>
          <w:lang w:val="es-ES_tradnl"/>
        </w:rPr>
        <w:t xml:space="preserve"> que la Asamblea Legislativa, a través de varios estatutos, ha reconocido la capacidad de actuar de personas con 18 años de edad, particularmente, en cuanto a servicios financieros en instituciones bancarias y cooperativistas. Cónsono con ello, sostienen que la aprobación del P. del S. 920 tendría el efecto de “establecer consistencia en atender y modernizar el esquema legal en nuestra jurisdicción, para que las personas desde los dieciocho (18) años puedan procurar y obtener los servicios financieros disponibles en todas las instituciones financieras autorizadas a operar en Puerto Rico”.</w:t>
      </w:r>
      <w:r w:rsidRPr="001A53B7">
        <w:rPr>
          <w:rFonts w:ascii="Book Antiqua" w:hAnsi="Book Antiqua"/>
          <w:vertAlign w:val="superscript"/>
          <w:lang w:val="es-ES_tradnl"/>
        </w:rPr>
        <w:footnoteReference w:id="36"/>
      </w:r>
    </w:p>
    <w:p w14:paraId="46B614D4" w14:textId="77777777" w:rsidR="001A53B7" w:rsidRPr="00ED030A" w:rsidRDefault="001A53B7" w:rsidP="007B060F">
      <w:pPr>
        <w:numPr>
          <w:ilvl w:val="0"/>
          <w:numId w:val="1"/>
        </w:numPr>
        <w:spacing w:after="240" w:line="21" w:lineRule="atLeast"/>
        <w:jc w:val="both"/>
        <w:rPr>
          <w:rFonts w:ascii="Book Antiqua" w:hAnsi="Book Antiqua"/>
          <w:u w:val="single"/>
          <w:lang w:val="es-ES_tradnl"/>
        </w:rPr>
      </w:pPr>
      <w:r w:rsidRPr="00ED030A">
        <w:rPr>
          <w:rFonts w:ascii="Book Antiqua" w:hAnsi="Book Antiqua"/>
          <w:b/>
          <w:bCs/>
          <w:u w:val="single"/>
          <w:lang w:val="es-ES_tradnl"/>
        </w:rPr>
        <w:t>Doctor Pedro F. Silva Ruiz</w:t>
      </w:r>
    </w:p>
    <w:p w14:paraId="5249EA46" w14:textId="77777777" w:rsidR="001A53B7" w:rsidRDefault="001A53B7" w:rsidP="007B060F">
      <w:pPr>
        <w:spacing w:after="240" w:line="21" w:lineRule="atLeast"/>
        <w:ind w:firstLine="360"/>
        <w:jc w:val="both"/>
        <w:rPr>
          <w:rFonts w:ascii="Book Antiqua" w:hAnsi="Book Antiqua"/>
          <w:lang w:val="es-ES_tradnl"/>
        </w:rPr>
      </w:pPr>
      <w:r w:rsidRPr="001A53B7">
        <w:rPr>
          <w:rFonts w:ascii="Book Antiqua" w:hAnsi="Book Antiqua"/>
          <w:lang w:val="es-ES_tradnl"/>
        </w:rPr>
        <w:t xml:space="preserve">Mediante comunicación electrónica, el Prof. Pedro F. Silva-Ruiz </w:t>
      </w:r>
      <w:r w:rsidRPr="00ED030A">
        <w:rPr>
          <w:rFonts w:ascii="Book Antiqua" w:hAnsi="Book Antiqua"/>
          <w:lang w:val="es-ES_tradnl"/>
        </w:rPr>
        <w:t>se expresó a favor de la enmienda propuesta por el P. del S. 920</w:t>
      </w:r>
      <w:r w:rsidRPr="001A53B7">
        <w:rPr>
          <w:rFonts w:ascii="Book Antiqua" w:hAnsi="Book Antiqua"/>
          <w:lang w:val="es-ES_tradnl"/>
        </w:rPr>
        <w:t xml:space="preserve"> al Artículo 97 del Código Civil de Puerto Rico, a fin de establecerse la mayoría de edad a los 18 años.</w:t>
      </w:r>
    </w:p>
    <w:p w14:paraId="1F52BF8A" w14:textId="77777777" w:rsidR="00ED030A" w:rsidRPr="001A53B7" w:rsidRDefault="00ED030A" w:rsidP="007B060F">
      <w:pPr>
        <w:spacing w:after="240" w:line="21" w:lineRule="atLeast"/>
        <w:ind w:firstLine="360"/>
        <w:jc w:val="both"/>
        <w:rPr>
          <w:rFonts w:ascii="Book Antiqua" w:hAnsi="Book Antiqua"/>
          <w:lang w:val="es-ES_tradnl"/>
        </w:rPr>
      </w:pPr>
    </w:p>
    <w:p w14:paraId="78AD506D" w14:textId="77777777" w:rsidR="001A53B7" w:rsidRPr="001A53B7" w:rsidRDefault="001A53B7" w:rsidP="007B060F">
      <w:pPr>
        <w:keepNext/>
        <w:keepLines/>
        <w:spacing w:after="240" w:line="21" w:lineRule="atLeast"/>
        <w:jc w:val="center"/>
        <w:outlineLvl w:val="1"/>
        <w:rPr>
          <w:rFonts w:ascii="Book Antiqua" w:eastAsia="Times New Roman" w:hAnsi="Book Antiqua" w:cs="Times New Roman"/>
          <w:b/>
          <w:caps/>
          <w:szCs w:val="26"/>
          <w:u w:val="single"/>
          <w:lang w:val="es-ES_tradnl"/>
          <w14:ligatures w14:val="none"/>
        </w:rPr>
      </w:pPr>
      <w:r w:rsidRPr="001A53B7">
        <w:rPr>
          <w:rFonts w:ascii="Book Antiqua" w:eastAsia="Times New Roman" w:hAnsi="Book Antiqua" w:cs="Times New Roman"/>
          <w:b/>
          <w:caps/>
          <w:szCs w:val="26"/>
          <w:u w:val="single"/>
          <w:lang w:val="es-ES_tradnl"/>
          <w14:ligatures w14:val="none"/>
        </w:rPr>
        <w:lastRenderedPageBreak/>
        <w:t>Impacto fiscal municipal</w:t>
      </w:r>
    </w:p>
    <w:p w14:paraId="2BF34D00" w14:textId="77777777" w:rsidR="001A53B7" w:rsidRPr="001A53B7" w:rsidRDefault="001A53B7" w:rsidP="007B060F">
      <w:pPr>
        <w:spacing w:after="240" w:line="21" w:lineRule="atLeast"/>
        <w:ind w:firstLine="432"/>
        <w:jc w:val="both"/>
        <w:rPr>
          <w:rFonts w:ascii="Book Antiqua" w:eastAsia="Calibri" w:hAnsi="Book Antiqua" w:cs="Times New Roman"/>
          <w:szCs w:val="22"/>
          <w:lang w:val="es-ES_tradnl"/>
          <w14:ligatures w14:val="none"/>
        </w:rPr>
      </w:pPr>
      <w:r w:rsidRPr="001A53B7">
        <w:rPr>
          <w:rFonts w:ascii="Book Antiqua" w:eastAsia="Calibri" w:hAnsi="Book Antiqua" w:cs="Times New Roman"/>
          <w:szCs w:val="22"/>
          <w:lang w:val="es-ES"/>
          <w14:ligatures w14:val="none"/>
        </w:rPr>
        <w:t>En cumplimiento con el Artículo 1.007 de la Ley Núm. 107-2020, según enmendada, conocida como “Código Municipal de Puerto Rico, la Comisión de lo Jurídico y Desarrollo Económico del Senado de Puerto Rico certifica que el P. del S. 920 no impone una obligación económica en el presupuesto de los gobiernos municipales</w:t>
      </w:r>
    </w:p>
    <w:p w14:paraId="2FDDC5F4" w14:textId="77777777" w:rsidR="001A53B7" w:rsidRPr="001A53B7" w:rsidRDefault="001A53B7" w:rsidP="007B060F">
      <w:pPr>
        <w:keepNext/>
        <w:keepLines/>
        <w:spacing w:after="240" w:line="21" w:lineRule="atLeast"/>
        <w:jc w:val="center"/>
        <w:outlineLvl w:val="1"/>
        <w:rPr>
          <w:rFonts w:ascii="Book Antiqua" w:eastAsia="Times New Roman" w:hAnsi="Book Antiqua" w:cs="Times New Roman"/>
          <w:b/>
          <w:caps/>
          <w:szCs w:val="26"/>
          <w:u w:val="single"/>
          <w:lang w:val="es-ES_tradnl"/>
          <w14:ligatures w14:val="none"/>
        </w:rPr>
      </w:pPr>
      <w:r w:rsidRPr="001A53B7">
        <w:rPr>
          <w:rFonts w:ascii="Book Antiqua" w:eastAsia="Times New Roman" w:hAnsi="Book Antiqua" w:cs="Times New Roman"/>
          <w:b/>
          <w:caps/>
          <w:szCs w:val="26"/>
          <w:u w:val="single"/>
          <w:lang w:val="es-ES_tradnl"/>
          <w14:ligatures w14:val="none"/>
        </w:rPr>
        <w:t>conclusión</w:t>
      </w:r>
    </w:p>
    <w:p w14:paraId="3AB6B13C" w14:textId="00BE8F58" w:rsidR="00DA050B" w:rsidRDefault="00DA050B" w:rsidP="007B060F">
      <w:pPr>
        <w:spacing w:after="240" w:line="21" w:lineRule="atLeast"/>
        <w:jc w:val="both"/>
        <w:rPr>
          <w:rFonts w:ascii="Book Antiqua" w:eastAsia="Calibri" w:hAnsi="Book Antiqua" w:cs="Times New Roman"/>
          <w:szCs w:val="22"/>
          <w:lang w:val="es-ES_tradnl"/>
          <w14:ligatures w14:val="none"/>
        </w:rPr>
      </w:pPr>
      <w:r>
        <w:rPr>
          <w:rFonts w:ascii="Book Antiqua" w:eastAsia="Calibri" w:hAnsi="Book Antiqua" w:cs="Times New Roman"/>
          <w:szCs w:val="22"/>
          <w:lang w:val="es-ES_tradnl"/>
          <w14:ligatures w14:val="none"/>
        </w:rPr>
        <w:tab/>
      </w:r>
      <w:r w:rsidR="004A6DA5">
        <w:rPr>
          <w:rFonts w:ascii="Book Antiqua" w:eastAsia="Calibri" w:hAnsi="Book Antiqua" w:cs="Times New Roman"/>
          <w:szCs w:val="22"/>
          <w:lang w:val="es-ES_tradnl"/>
          <w14:ligatures w14:val="none"/>
        </w:rPr>
        <w:t>Luego de evaluar</w:t>
      </w:r>
      <w:r w:rsidR="00E1357B">
        <w:rPr>
          <w:rFonts w:ascii="Book Antiqua" w:eastAsia="Calibri" w:hAnsi="Book Antiqua" w:cs="Times New Roman"/>
          <w:szCs w:val="22"/>
          <w:lang w:val="es-ES_tradnl"/>
          <w14:ligatures w14:val="none"/>
        </w:rPr>
        <w:t xml:space="preserve"> </w:t>
      </w:r>
      <w:r w:rsidR="004A6DA5">
        <w:rPr>
          <w:rFonts w:ascii="Book Antiqua" w:eastAsia="Calibri" w:hAnsi="Book Antiqua" w:cs="Times New Roman"/>
          <w:szCs w:val="22"/>
          <w:lang w:val="es-ES_tradnl"/>
          <w14:ligatures w14:val="none"/>
        </w:rPr>
        <w:t>los comentarios y reservas presentadas en torno al P. del S. 920,</w:t>
      </w:r>
      <w:r w:rsidR="00E1357B">
        <w:rPr>
          <w:rFonts w:ascii="Book Antiqua" w:eastAsia="Calibri" w:hAnsi="Book Antiqua" w:cs="Times New Roman"/>
          <w:szCs w:val="22"/>
          <w:lang w:val="es-ES_tradnl"/>
          <w14:ligatures w14:val="none"/>
        </w:rPr>
        <w:t xml:space="preserve"> esta Comisión</w:t>
      </w:r>
      <w:r w:rsidR="004A6DA5">
        <w:rPr>
          <w:rFonts w:ascii="Book Antiqua" w:eastAsia="Calibri" w:hAnsi="Book Antiqua" w:cs="Times New Roman"/>
          <w:szCs w:val="22"/>
          <w:lang w:val="es-ES_tradnl"/>
          <w14:ligatures w14:val="none"/>
        </w:rPr>
        <w:t xml:space="preserve"> introduce </w:t>
      </w:r>
      <w:r w:rsidR="00E1357B">
        <w:rPr>
          <w:rFonts w:ascii="Book Antiqua" w:eastAsia="Calibri" w:hAnsi="Book Antiqua" w:cs="Times New Roman"/>
          <w:szCs w:val="22"/>
          <w:lang w:val="es-ES_tradnl"/>
          <w14:ligatures w14:val="none"/>
        </w:rPr>
        <w:t xml:space="preserve">múltiples </w:t>
      </w:r>
      <w:r w:rsidR="004A6DA5">
        <w:rPr>
          <w:rFonts w:ascii="Book Antiqua" w:eastAsia="Calibri" w:hAnsi="Book Antiqua" w:cs="Times New Roman"/>
          <w:szCs w:val="22"/>
          <w:lang w:val="es-ES_tradnl"/>
          <w14:ligatures w14:val="none"/>
        </w:rPr>
        <w:t xml:space="preserve">enmiendas a los fines de garantizar el derecho a recibir alimentos </w:t>
      </w:r>
      <w:r w:rsidR="00E1357B">
        <w:rPr>
          <w:rFonts w:ascii="Book Antiqua" w:eastAsia="Calibri" w:hAnsi="Book Antiqua" w:cs="Times New Roman"/>
          <w:szCs w:val="22"/>
          <w:lang w:val="es-ES_tradnl"/>
          <w14:ligatures w14:val="none"/>
        </w:rPr>
        <w:t>de</w:t>
      </w:r>
      <w:r w:rsidR="004A6DA5">
        <w:rPr>
          <w:rFonts w:ascii="Book Antiqua" w:eastAsia="Calibri" w:hAnsi="Book Antiqua" w:cs="Times New Roman"/>
          <w:szCs w:val="22"/>
          <w:lang w:val="es-ES_tradnl"/>
          <w14:ligatures w14:val="none"/>
        </w:rPr>
        <w:t xml:space="preserve"> toda persona menor de </w:t>
      </w:r>
      <w:r w:rsidR="00E1357B">
        <w:rPr>
          <w:rFonts w:ascii="Book Antiqua" w:eastAsia="Calibri" w:hAnsi="Book Antiqua" w:cs="Times New Roman"/>
          <w:szCs w:val="22"/>
          <w:lang w:val="es-ES_tradnl"/>
          <w14:ligatures w14:val="none"/>
        </w:rPr>
        <w:t>veintiún</w:t>
      </w:r>
      <w:r w:rsidR="004A6DA5">
        <w:rPr>
          <w:rFonts w:ascii="Book Antiqua" w:eastAsia="Calibri" w:hAnsi="Book Antiqua" w:cs="Times New Roman"/>
          <w:szCs w:val="22"/>
          <w:lang w:val="es-ES_tradnl"/>
          <w14:ligatures w14:val="none"/>
        </w:rPr>
        <w:t xml:space="preserve"> (21) años independientemente </w:t>
      </w:r>
      <w:r w:rsidR="00E1357B">
        <w:rPr>
          <w:rFonts w:ascii="Book Antiqua" w:eastAsia="Calibri" w:hAnsi="Book Antiqua" w:cs="Times New Roman"/>
          <w:szCs w:val="22"/>
          <w:lang w:val="es-ES_tradnl"/>
          <w14:ligatures w14:val="none"/>
        </w:rPr>
        <w:t>de que se</w:t>
      </w:r>
      <w:r w:rsidR="004A6DA5">
        <w:rPr>
          <w:rFonts w:ascii="Book Antiqua" w:eastAsia="Calibri" w:hAnsi="Book Antiqua" w:cs="Times New Roman"/>
          <w:szCs w:val="22"/>
          <w:lang w:val="es-ES_tradnl"/>
          <w14:ligatures w14:val="none"/>
        </w:rPr>
        <w:t xml:space="preserve"> encuentre cursando estudios secundarios, profesionales o graduados al momento de advenir a los dieciocho (18) años; así como se </w:t>
      </w:r>
      <w:r w:rsidR="00E1357B">
        <w:rPr>
          <w:rFonts w:ascii="Book Antiqua" w:eastAsia="Calibri" w:hAnsi="Book Antiqua" w:cs="Times New Roman"/>
          <w:szCs w:val="22"/>
          <w:lang w:val="es-ES_tradnl"/>
          <w14:ligatures w14:val="none"/>
        </w:rPr>
        <w:t>exceptúa</w:t>
      </w:r>
      <w:r w:rsidR="004A6DA5">
        <w:rPr>
          <w:rFonts w:ascii="Book Antiqua" w:eastAsia="Calibri" w:hAnsi="Book Antiqua" w:cs="Times New Roman"/>
          <w:szCs w:val="22"/>
          <w:lang w:val="es-ES_tradnl"/>
          <w14:ligatures w14:val="none"/>
        </w:rPr>
        <w:t xml:space="preserve"> de la </w:t>
      </w:r>
      <w:r w:rsidR="00E1357B">
        <w:rPr>
          <w:rFonts w:ascii="Book Antiqua" w:eastAsia="Calibri" w:hAnsi="Book Antiqua" w:cs="Times New Roman"/>
          <w:szCs w:val="22"/>
          <w:lang w:val="es-ES_tradnl"/>
          <w14:ligatures w14:val="none"/>
        </w:rPr>
        <w:t>cláusula</w:t>
      </w:r>
      <w:r w:rsidR="004A6DA5">
        <w:rPr>
          <w:rFonts w:ascii="Book Antiqua" w:eastAsia="Calibri" w:hAnsi="Book Antiqua" w:cs="Times New Roman"/>
          <w:szCs w:val="22"/>
          <w:lang w:val="es-ES_tradnl"/>
          <w14:ligatures w14:val="none"/>
        </w:rPr>
        <w:t xml:space="preserve"> de supremacía toda ley penal y se permite al Departamento de la </w:t>
      </w:r>
      <w:r w:rsidR="00E1357B">
        <w:rPr>
          <w:rFonts w:ascii="Book Antiqua" w:eastAsia="Calibri" w:hAnsi="Book Antiqua" w:cs="Times New Roman"/>
          <w:szCs w:val="22"/>
          <w:lang w:val="es-ES_tradnl"/>
          <w14:ligatures w14:val="none"/>
        </w:rPr>
        <w:t xml:space="preserve">Familia continuar brindando servicios a los menores </w:t>
      </w:r>
      <w:r w:rsidR="00964EE7">
        <w:rPr>
          <w:rFonts w:ascii="Book Antiqua" w:eastAsia="Calibri" w:hAnsi="Book Antiqua" w:cs="Times New Roman"/>
          <w:szCs w:val="22"/>
          <w:lang w:val="es-ES_tradnl"/>
          <w14:ligatures w14:val="none"/>
        </w:rPr>
        <w:t xml:space="preserve">que posea su custodia hasta los veintiún (21) años. </w:t>
      </w:r>
    </w:p>
    <w:p w14:paraId="69FFEA05" w14:textId="48BAA0C6" w:rsidR="001A53B7" w:rsidRPr="001A53B7" w:rsidRDefault="001A53B7" w:rsidP="007B060F">
      <w:pPr>
        <w:spacing w:after="240" w:line="21" w:lineRule="atLeast"/>
        <w:jc w:val="both"/>
        <w:rPr>
          <w:rFonts w:ascii="Book Antiqua" w:eastAsia="Calibri" w:hAnsi="Book Antiqua" w:cs="Times New Roman"/>
          <w:szCs w:val="22"/>
          <w:lang w:val="es-ES_tradnl"/>
          <w14:ligatures w14:val="none"/>
        </w:rPr>
      </w:pPr>
      <w:r w:rsidRPr="001A53B7">
        <w:rPr>
          <w:rFonts w:ascii="Book Antiqua" w:eastAsia="Calibri" w:hAnsi="Book Antiqua" w:cs="Times New Roman"/>
          <w:b/>
          <w:bCs/>
          <w:szCs w:val="22"/>
          <w:lang w:val="es-ES_tradnl"/>
          <w14:ligatures w14:val="none"/>
        </w:rPr>
        <w:t>POR TODO LO ANTES EXPUESTO</w:t>
      </w:r>
      <w:r w:rsidRPr="001A53B7">
        <w:rPr>
          <w:rFonts w:ascii="Book Antiqua" w:eastAsia="Calibri" w:hAnsi="Book Antiqua" w:cs="Times New Roman"/>
          <w:szCs w:val="22"/>
          <w:lang w:val="es-ES_tradnl"/>
          <w14:ligatures w14:val="none"/>
        </w:rPr>
        <w:t>, la Comisión de lo Jurídico y Desarrollo Económico del Senado de Puerto Rico, previo estudio y consideración, recomienda la aprobación del Proyecto del Senado 920, con enmiendas.</w:t>
      </w:r>
    </w:p>
    <w:p w14:paraId="19C1AD7E" w14:textId="180D421B" w:rsidR="001A53B7" w:rsidRPr="001A53B7" w:rsidRDefault="001A53B7" w:rsidP="007B060F">
      <w:pPr>
        <w:spacing w:before="240" w:line="21" w:lineRule="atLeast"/>
        <w:jc w:val="both"/>
        <w:rPr>
          <w:rFonts w:ascii="Book Antiqua" w:eastAsia="Calibri" w:hAnsi="Book Antiqua" w:cs="Times New Roman"/>
          <w:szCs w:val="22"/>
          <w:lang w:val="es-ES_tradnl"/>
          <w14:ligatures w14:val="none"/>
        </w:rPr>
      </w:pPr>
      <w:r w:rsidRPr="001A53B7">
        <w:rPr>
          <w:rFonts w:ascii="Book Antiqua" w:eastAsia="Calibri" w:hAnsi="Book Antiqua" w:cs="Times New Roman"/>
          <w:szCs w:val="22"/>
          <w:lang w:val="es-ES_tradnl"/>
          <w14:ligatures w14:val="none"/>
        </w:rPr>
        <w:t>Respetuosamente sometido,</w:t>
      </w:r>
    </w:p>
    <w:p w14:paraId="36296EED" w14:textId="77777777" w:rsidR="001A53B7" w:rsidRPr="001A53B7" w:rsidRDefault="001A53B7" w:rsidP="007B060F">
      <w:pPr>
        <w:spacing w:before="240" w:line="21" w:lineRule="atLeast"/>
        <w:jc w:val="both"/>
        <w:rPr>
          <w:rFonts w:ascii="Book Antiqua" w:eastAsia="Calibri" w:hAnsi="Book Antiqua" w:cs="Times New Roman"/>
          <w:szCs w:val="22"/>
          <w:lang w:val="es-ES_tradnl"/>
          <w14:ligatures w14:val="none"/>
        </w:rPr>
      </w:pPr>
    </w:p>
    <w:p w14:paraId="6E913DC1" w14:textId="4FADCE57" w:rsidR="001A53B7" w:rsidRPr="001A53B7" w:rsidRDefault="001A53B7" w:rsidP="007B060F">
      <w:pPr>
        <w:spacing w:before="240" w:line="21" w:lineRule="atLeast"/>
        <w:jc w:val="both"/>
        <w:rPr>
          <w:rFonts w:ascii="Book Antiqua" w:eastAsia="Calibri" w:hAnsi="Book Antiqua" w:cs="Times New Roman"/>
          <w:b/>
          <w:bCs/>
          <w:szCs w:val="22"/>
          <w:lang w:val="es-ES_tradnl"/>
          <w14:ligatures w14:val="none"/>
        </w:rPr>
      </w:pPr>
      <w:r w:rsidRPr="001A53B7">
        <w:rPr>
          <w:rFonts w:ascii="Book Antiqua" w:eastAsia="Calibri" w:hAnsi="Book Antiqua" w:cs="Times New Roman"/>
          <w:b/>
          <w:bCs/>
          <w:szCs w:val="22"/>
          <w:lang w:val="es-ES_tradnl"/>
          <w14:ligatures w14:val="none"/>
        </w:rPr>
        <w:t>Hon. José Luis Dalmau Santiago</w:t>
      </w:r>
    </w:p>
    <w:p w14:paraId="54FB1624" w14:textId="5CC72777" w:rsidR="001A53B7" w:rsidRPr="001A53B7" w:rsidRDefault="001A53B7" w:rsidP="007B060F">
      <w:pPr>
        <w:spacing w:line="21" w:lineRule="atLeast"/>
        <w:jc w:val="both"/>
        <w:rPr>
          <w:rFonts w:ascii="Book Antiqua" w:eastAsia="Calibri" w:hAnsi="Book Antiqua" w:cs="Times New Roman"/>
          <w:szCs w:val="22"/>
          <w:lang w:val="es-ES_tradnl"/>
          <w14:ligatures w14:val="none"/>
        </w:rPr>
      </w:pPr>
      <w:r>
        <w:rPr>
          <w:rFonts w:ascii="Book Antiqua" w:eastAsia="Calibri" w:hAnsi="Book Antiqua" w:cs="Times New Roman"/>
          <w:szCs w:val="22"/>
          <w:lang w:val="es-ES_tradnl"/>
          <w14:ligatures w14:val="none"/>
        </w:rPr>
        <w:t>P</w:t>
      </w:r>
      <w:r w:rsidRPr="001A53B7">
        <w:rPr>
          <w:rFonts w:ascii="Book Antiqua" w:eastAsia="Calibri" w:hAnsi="Book Antiqua" w:cs="Times New Roman"/>
          <w:szCs w:val="22"/>
          <w:lang w:val="es-ES_tradnl"/>
          <w14:ligatures w14:val="none"/>
        </w:rPr>
        <w:t>residente</w:t>
      </w:r>
    </w:p>
    <w:p w14:paraId="300138D4" w14:textId="05534969" w:rsidR="001A53B7" w:rsidRDefault="001A53B7" w:rsidP="007B060F">
      <w:pPr>
        <w:spacing w:line="21" w:lineRule="atLeast"/>
        <w:jc w:val="both"/>
        <w:rPr>
          <w:lang w:val="es-ES_tradnl"/>
        </w:rPr>
      </w:pPr>
      <w:r w:rsidRPr="001A53B7">
        <w:rPr>
          <w:rFonts w:ascii="Book Antiqua" w:eastAsia="Calibri" w:hAnsi="Book Antiqua" w:cs="Times New Roman"/>
          <w:szCs w:val="22"/>
          <w:lang w:val="es-ES_tradnl"/>
          <w14:ligatures w14:val="none"/>
        </w:rPr>
        <w:t>Comisión de lo Jurídico y Desarrollo Económico</w:t>
      </w:r>
    </w:p>
    <w:sectPr w:rsidR="001A53B7" w:rsidSect="00937BCA">
      <w:head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0EB34" w14:textId="77777777" w:rsidR="00754031" w:rsidRDefault="00754031" w:rsidP="00937BCA">
      <w:r>
        <w:separator/>
      </w:r>
    </w:p>
  </w:endnote>
  <w:endnote w:type="continuationSeparator" w:id="0">
    <w:p w14:paraId="2A6AE52F" w14:textId="77777777" w:rsidR="00754031" w:rsidRDefault="00754031" w:rsidP="00937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9BC9C" w14:textId="77777777" w:rsidR="00754031" w:rsidRDefault="00754031" w:rsidP="00937BCA">
      <w:r>
        <w:separator/>
      </w:r>
    </w:p>
  </w:footnote>
  <w:footnote w:type="continuationSeparator" w:id="0">
    <w:p w14:paraId="3D917B63" w14:textId="77777777" w:rsidR="00754031" w:rsidRDefault="00754031" w:rsidP="00937BCA">
      <w:r>
        <w:continuationSeparator/>
      </w:r>
    </w:p>
  </w:footnote>
  <w:footnote w:id="1">
    <w:p w14:paraId="04C85970" w14:textId="27573F4E" w:rsidR="00937BCA" w:rsidRPr="00B22C2E" w:rsidRDefault="00937BCA" w:rsidP="00937BCA">
      <w:pPr>
        <w:pStyle w:val="FootnoteText"/>
        <w:jc w:val="both"/>
        <w:rPr>
          <w:rFonts w:cs="Times New Roman"/>
          <w:lang w:val="es-ES_tradnl"/>
        </w:rPr>
      </w:pPr>
      <w:r w:rsidRPr="00B22C2E">
        <w:rPr>
          <w:rStyle w:val="FootnoteReference"/>
          <w:rFonts w:cs="Times New Roman"/>
          <w:lang w:val="es-ES_tradnl"/>
        </w:rPr>
        <w:footnoteRef/>
      </w:r>
      <w:r w:rsidRPr="00B22C2E">
        <w:rPr>
          <w:rFonts w:cs="Times New Roman"/>
          <w:lang w:val="es-ES_tradnl"/>
        </w:rPr>
        <w:t xml:space="preserve"> </w:t>
      </w:r>
      <w:r w:rsidRPr="00B22C2E">
        <w:rPr>
          <w:rFonts w:cs="Times New Roman"/>
          <w:i/>
          <w:iCs/>
          <w:lang w:val="es-ES_tradnl"/>
        </w:rPr>
        <w:t>Véase</w:t>
      </w:r>
      <w:r w:rsidRPr="00B22C2E">
        <w:rPr>
          <w:rFonts w:cs="Times New Roman"/>
          <w:i/>
          <w:iCs/>
          <w:smallCaps/>
          <w:lang w:val="es-ES_tradnl"/>
        </w:rPr>
        <w:t xml:space="preserve"> </w:t>
      </w:r>
      <w:r w:rsidRPr="00B22C2E">
        <w:rPr>
          <w:rFonts w:cs="Times New Roman"/>
          <w:smallCaps/>
          <w:lang w:val="es-ES_tradnl"/>
        </w:rPr>
        <w:t>José Trías Monge, El Choque de Dos Culturas Jurídicas en Puerto Rico</w:t>
      </w:r>
      <w:r w:rsidRPr="00B22C2E">
        <w:rPr>
          <w:rFonts w:cs="Times New Roman"/>
          <w:lang w:val="es-ES_tradnl"/>
        </w:rPr>
        <w:t xml:space="preserve"> 401 (1991) (“los sistemas jurídicos no deben cerrarse a las aportaciones enriquecedoras de otras tradiciones. Tampoco deben abrirse al extremo de rendir su carácter. Los sistemas de derecho mixto viven en estado de tensión continua sobre el destino que les aguarda: o la absorción de una cultura por otra, o el descenso a una burundanga o batiburrillo jurídico, o la preservación y </w:t>
      </w:r>
      <w:r w:rsidR="0009788C" w:rsidRPr="00B22C2E">
        <w:rPr>
          <w:rFonts w:cs="Times New Roman"/>
          <w:lang w:val="es-ES_tradnl"/>
        </w:rPr>
        <w:t>ensanchamiento</w:t>
      </w:r>
      <w:r w:rsidRPr="00B22C2E">
        <w:rPr>
          <w:rFonts w:cs="Times New Roman"/>
          <w:lang w:val="es-ES_tradnl"/>
        </w:rPr>
        <w:t xml:space="preserve"> de las culturas que conviven en su medio y la producción eventual de un derecho propio”).</w:t>
      </w:r>
    </w:p>
  </w:footnote>
  <w:footnote w:id="2">
    <w:p w14:paraId="7E67DD5B" w14:textId="11C177AC" w:rsidR="00937BCA" w:rsidRPr="00DE2028" w:rsidRDefault="00937BCA" w:rsidP="00937BCA">
      <w:pPr>
        <w:pStyle w:val="FootnoteText"/>
        <w:rPr>
          <w:rFonts w:cs="Times New Roman"/>
        </w:rPr>
      </w:pPr>
      <w:r w:rsidRPr="00B22C2E">
        <w:rPr>
          <w:rStyle w:val="FootnoteReference"/>
          <w:rFonts w:cs="Times New Roman"/>
          <w:lang w:val="es-ES_tradnl"/>
        </w:rPr>
        <w:footnoteRef/>
      </w:r>
      <w:r w:rsidRPr="00DE2028">
        <w:rPr>
          <w:rFonts w:cs="Times New Roman"/>
        </w:rPr>
        <w:t xml:space="preserve"> </w:t>
      </w:r>
      <w:bookmarkStart w:id="1" w:name="_Hlk148706417"/>
      <w:r w:rsidRPr="00DE2028">
        <w:rPr>
          <w:rFonts w:cs="Times New Roman"/>
          <w:smallCaps/>
        </w:rPr>
        <w:t>Cód. Civ.</w:t>
      </w:r>
      <w:r w:rsidRPr="00DE2028">
        <w:rPr>
          <w:rFonts w:cs="Times New Roman"/>
        </w:rPr>
        <w:t xml:space="preserve"> PR art 97, </w:t>
      </w:r>
      <w:bookmarkEnd w:id="1"/>
      <w:r w:rsidRPr="00DE2028">
        <w:rPr>
          <w:rFonts w:cs="Times New Roman"/>
        </w:rPr>
        <w:t>31 L.P.R.A. § 5591.</w:t>
      </w:r>
    </w:p>
  </w:footnote>
  <w:footnote w:id="3">
    <w:p w14:paraId="71A3EEF5" w14:textId="41242AE2" w:rsidR="00937BCA" w:rsidRPr="00CD20FB" w:rsidRDefault="00937BCA" w:rsidP="00937BCA">
      <w:pPr>
        <w:pStyle w:val="FootnoteText"/>
      </w:pPr>
      <w:r w:rsidRPr="00B22C2E">
        <w:rPr>
          <w:rStyle w:val="FootnoteReference"/>
          <w:rFonts w:cs="Times New Roman"/>
        </w:rPr>
        <w:footnoteRef/>
      </w:r>
      <w:r w:rsidRPr="00B22C2E">
        <w:rPr>
          <w:rFonts w:cs="Times New Roman"/>
        </w:rPr>
        <w:t xml:space="preserve"> </w:t>
      </w:r>
      <w:r w:rsidRPr="00B22C2E">
        <w:rPr>
          <w:rFonts w:cs="Times New Roman"/>
          <w:i/>
          <w:iCs/>
        </w:rPr>
        <w:t>Id</w:t>
      </w:r>
      <w:r w:rsidR="006223FC">
        <w:rPr>
          <w:rFonts w:cs="Times New Roman"/>
          <w:i/>
          <w:iCs/>
        </w:rPr>
        <w:t>.</w:t>
      </w:r>
      <w:r w:rsidRPr="00B22C2E">
        <w:rPr>
          <w:rFonts w:cs="Times New Roman"/>
        </w:rPr>
        <w:t xml:space="preserve"> § 5601.</w:t>
      </w:r>
    </w:p>
  </w:footnote>
  <w:footnote w:id="4">
    <w:p w14:paraId="69920796" w14:textId="5872A4AB" w:rsidR="006223FC" w:rsidRPr="00B74384" w:rsidRDefault="006223FC">
      <w:pPr>
        <w:pStyle w:val="FootnoteText"/>
        <w:rPr>
          <w:rFonts w:cs="Times New Roman"/>
        </w:rPr>
      </w:pPr>
      <w:r w:rsidRPr="00B74384">
        <w:rPr>
          <w:rStyle w:val="FootnoteReference"/>
          <w:rFonts w:cs="Times New Roman"/>
        </w:rPr>
        <w:footnoteRef/>
      </w:r>
      <w:r w:rsidRPr="00B74384">
        <w:rPr>
          <w:rFonts w:cs="Times New Roman"/>
        </w:rPr>
        <w:t xml:space="preserve"> </w:t>
      </w:r>
      <w:r w:rsidRPr="00B74384">
        <w:rPr>
          <w:rFonts w:cs="Times New Roman"/>
          <w:i/>
          <w:iCs/>
        </w:rPr>
        <w:t xml:space="preserve">Id. </w:t>
      </w:r>
      <w:r w:rsidRPr="00B74384">
        <w:rPr>
          <w:rFonts w:cs="Times New Roman"/>
        </w:rPr>
        <w:t>§ 6591.</w:t>
      </w:r>
    </w:p>
  </w:footnote>
  <w:footnote w:id="5">
    <w:p w14:paraId="1827CAD2" w14:textId="53E6362C" w:rsidR="006223FC" w:rsidRPr="00B74384" w:rsidRDefault="006223FC">
      <w:pPr>
        <w:pStyle w:val="FootnoteText"/>
        <w:rPr>
          <w:rFonts w:cs="Times New Roman"/>
        </w:rPr>
      </w:pPr>
      <w:r w:rsidRPr="00B74384">
        <w:rPr>
          <w:rStyle w:val="FootnoteReference"/>
          <w:rFonts w:cs="Times New Roman"/>
        </w:rPr>
        <w:footnoteRef/>
      </w:r>
      <w:r w:rsidRPr="00B74384">
        <w:rPr>
          <w:rFonts w:cs="Times New Roman"/>
        </w:rPr>
        <w:t xml:space="preserve"> </w:t>
      </w:r>
      <w:r w:rsidRPr="00B74384">
        <w:rPr>
          <w:rFonts w:cs="Times New Roman"/>
          <w:i/>
          <w:iCs/>
        </w:rPr>
        <w:t xml:space="preserve">Id. </w:t>
      </w:r>
      <w:r w:rsidRPr="00B74384">
        <w:rPr>
          <w:rFonts w:cs="Times New Roman"/>
        </w:rPr>
        <w:t>§ 6592.</w:t>
      </w:r>
    </w:p>
  </w:footnote>
  <w:footnote w:id="6">
    <w:p w14:paraId="74F10444" w14:textId="4D953BC3" w:rsidR="00B74384" w:rsidRPr="00B74384" w:rsidRDefault="00B74384" w:rsidP="00B74384">
      <w:pPr>
        <w:pStyle w:val="FootnoteText"/>
        <w:rPr>
          <w:rFonts w:cs="Times New Roman"/>
        </w:rPr>
      </w:pPr>
      <w:r w:rsidRPr="00B74384">
        <w:rPr>
          <w:rStyle w:val="FootnoteReference"/>
          <w:rFonts w:cs="Times New Roman"/>
        </w:rPr>
        <w:footnoteRef/>
      </w:r>
      <w:r w:rsidRPr="00B74384">
        <w:rPr>
          <w:rFonts w:cs="Times New Roman"/>
        </w:rPr>
        <w:t xml:space="preserve"> </w:t>
      </w:r>
      <w:r w:rsidRPr="00DE2028">
        <w:rPr>
          <w:rFonts w:cs="Times New Roman"/>
          <w:i/>
          <w:iCs/>
        </w:rPr>
        <w:t>Id</w:t>
      </w:r>
      <w:r w:rsidR="00837EEB" w:rsidRPr="00DE2028">
        <w:rPr>
          <w:rFonts w:cs="Times New Roman"/>
          <w:i/>
          <w:iCs/>
        </w:rPr>
        <w:t>.</w:t>
      </w:r>
      <w:r w:rsidRPr="00DE2028">
        <w:rPr>
          <w:rFonts w:cs="Times New Roman"/>
        </w:rPr>
        <w:t xml:space="preserve"> § 7421.</w:t>
      </w:r>
    </w:p>
  </w:footnote>
  <w:footnote w:id="7">
    <w:p w14:paraId="098080D6" w14:textId="712283C6" w:rsidR="008E52CB" w:rsidRPr="001E7408" w:rsidRDefault="008E52CB" w:rsidP="008E52CB">
      <w:pPr>
        <w:pStyle w:val="FootnoteText"/>
        <w:rPr>
          <w:rFonts w:asciiTheme="majorHAnsi" w:hAnsiTheme="majorHAnsi" w:cstheme="majorHAnsi"/>
        </w:rPr>
      </w:pPr>
      <w:r w:rsidRPr="00B74384">
        <w:rPr>
          <w:rStyle w:val="FootnoteReference"/>
          <w:rFonts w:cs="Times New Roman"/>
        </w:rPr>
        <w:footnoteRef/>
      </w:r>
      <w:r w:rsidRPr="00B74384">
        <w:rPr>
          <w:rFonts w:cs="Times New Roman"/>
        </w:rPr>
        <w:t xml:space="preserve"> </w:t>
      </w:r>
      <w:r w:rsidRPr="00DE2028">
        <w:rPr>
          <w:rFonts w:cs="Times New Roman"/>
          <w:i/>
          <w:iCs/>
        </w:rPr>
        <w:t>Id</w:t>
      </w:r>
      <w:r w:rsidR="00837EEB" w:rsidRPr="00DE2028">
        <w:rPr>
          <w:rFonts w:cs="Times New Roman"/>
          <w:i/>
          <w:iCs/>
        </w:rPr>
        <w:t>.</w:t>
      </w:r>
      <w:r w:rsidRPr="00DE2028">
        <w:rPr>
          <w:rFonts w:cs="Times New Roman"/>
        </w:rPr>
        <w:t xml:space="preserve"> § 7453.</w:t>
      </w:r>
    </w:p>
  </w:footnote>
  <w:footnote w:id="8">
    <w:p w14:paraId="33141F55" w14:textId="64372F97" w:rsidR="00D2046A" w:rsidRPr="00DE2028" w:rsidRDefault="00D2046A">
      <w:pPr>
        <w:pStyle w:val="FootnoteText"/>
      </w:pPr>
      <w:r w:rsidRPr="0028259F">
        <w:rPr>
          <w:rStyle w:val="FootnoteReference"/>
          <w:lang w:val="es-ES_tradnl"/>
        </w:rPr>
        <w:footnoteRef/>
      </w:r>
      <w:r w:rsidRPr="00DE2028">
        <w:t xml:space="preserve"> </w:t>
      </w:r>
      <w:r w:rsidRPr="00DE2028">
        <w:rPr>
          <w:i/>
          <w:iCs/>
        </w:rPr>
        <w:t xml:space="preserve">Véase </w:t>
      </w:r>
      <w:r w:rsidRPr="00DE2028">
        <w:t xml:space="preserve">23 U.S.C. </w:t>
      </w:r>
      <w:r w:rsidRPr="00DE2028">
        <w:rPr>
          <w:rFonts w:cs="Times New Roman"/>
        </w:rPr>
        <w:t>§</w:t>
      </w:r>
      <w:r w:rsidRPr="00DE2028">
        <w:t xml:space="preserve"> </w:t>
      </w:r>
      <w:r w:rsidR="008D32F7" w:rsidRPr="00DE2028">
        <w:t>158.</w:t>
      </w:r>
    </w:p>
  </w:footnote>
  <w:footnote w:id="9">
    <w:p w14:paraId="116EE0D4" w14:textId="074013EE" w:rsidR="00FE7EAE" w:rsidRPr="00DE2028" w:rsidRDefault="00FE7EAE">
      <w:pPr>
        <w:pStyle w:val="FootnoteText"/>
      </w:pPr>
      <w:r w:rsidRPr="0028259F">
        <w:rPr>
          <w:rStyle w:val="FootnoteReference"/>
          <w:lang w:val="es-ES_tradnl"/>
        </w:rPr>
        <w:footnoteRef/>
      </w:r>
      <w:r w:rsidRPr="00DE2028">
        <w:t xml:space="preserve"> </w:t>
      </w:r>
      <w:r w:rsidRPr="00DE2028">
        <w:rPr>
          <w:smallCaps/>
        </w:rPr>
        <w:t>Const</w:t>
      </w:r>
      <w:r w:rsidRPr="00DE2028">
        <w:t xml:space="preserve">. EE. UU. enm. XXVI, </w:t>
      </w:r>
      <w:r w:rsidRPr="00DE2028">
        <w:rPr>
          <w:rFonts w:cs="Times New Roman"/>
        </w:rPr>
        <w:t>§</w:t>
      </w:r>
      <w:r w:rsidRPr="00DE2028">
        <w:t xml:space="preserve"> 1.</w:t>
      </w:r>
    </w:p>
  </w:footnote>
  <w:footnote w:id="10">
    <w:p w14:paraId="52F2F5C9" w14:textId="4D4237A8" w:rsidR="00154B7E" w:rsidRDefault="00154B7E" w:rsidP="00154B7E">
      <w:pPr>
        <w:pStyle w:val="FootnoteText"/>
        <w:jc w:val="both"/>
      </w:pPr>
      <w:r>
        <w:rPr>
          <w:rStyle w:val="FootnoteReference"/>
        </w:rPr>
        <w:footnoteRef/>
      </w:r>
      <w:r w:rsidR="00C567D4">
        <w:t xml:space="preserve"> </w:t>
      </w:r>
      <w:bookmarkStart w:id="2" w:name="_Hlk150327865"/>
      <w:r w:rsidRPr="00DE2028">
        <w:rPr>
          <w:rFonts w:cs="Times New Roman"/>
          <w:i/>
          <w:iCs/>
        </w:rPr>
        <w:t>Véase</w:t>
      </w:r>
      <w:r w:rsidRPr="00D2010E">
        <w:rPr>
          <w:rFonts w:cs="Times New Roman"/>
          <w:i/>
          <w:iCs/>
        </w:rPr>
        <w:t xml:space="preserve"> </w:t>
      </w:r>
      <w:bookmarkEnd w:id="2"/>
      <w:r w:rsidRPr="00D2010E">
        <w:rPr>
          <w:rFonts w:cs="Times New Roman"/>
          <w:smallCaps/>
        </w:rPr>
        <w:t>UN General Assembly, Convention on the Rights of the Child</w:t>
      </w:r>
      <w:r w:rsidRPr="00D2010E">
        <w:rPr>
          <w:rFonts w:cs="Times New Roman"/>
        </w:rPr>
        <w:t xml:space="preserve"> (1989) (“for the purposes of the present Convention, a child means every human being below the age of eighteen years unless under the law applicable to the child, majority is attained earlier</w:t>
      </w:r>
      <w:r w:rsidRPr="00DE2028">
        <w:rPr>
          <w:rFonts w:cs="Times New Roman"/>
        </w:rPr>
        <w:t>”),</w:t>
      </w:r>
      <w:r w:rsidRPr="00D2010E">
        <w:rPr>
          <w:rFonts w:cs="Times New Roman"/>
        </w:rPr>
        <w:t xml:space="preserve"> </w:t>
      </w:r>
      <w:hyperlink r:id="rId1" w:history="1">
        <w:r w:rsidRPr="00DE2028">
          <w:rPr>
            <w:rStyle w:val="Hyperlink"/>
            <w:rFonts w:cs="Times New Roman"/>
          </w:rPr>
          <w:t>https://www.unicef.org/media/52626/file</w:t>
        </w:r>
      </w:hyperlink>
      <w:r w:rsidRPr="00DE2028">
        <w:rPr>
          <w:rFonts w:cs="Times New Roman"/>
        </w:rPr>
        <w:t>.</w:t>
      </w:r>
    </w:p>
  </w:footnote>
  <w:footnote w:id="11">
    <w:p w14:paraId="33E47DFC" w14:textId="502C6F96" w:rsidR="006106D4" w:rsidRPr="00DE2028" w:rsidRDefault="006106D4" w:rsidP="006106D4">
      <w:pPr>
        <w:pStyle w:val="FootnoteText"/>
        <w:rPr>
          <w:lang w:val="es-PR"/>
        </w:rPr>
      </w:pPr>
      <w:r w:rsidRPr="0028259F">
        <w:rPr>
          <w:rStyle w:val="FootnoteReference"/>
          <w:lang w:val="es-ES_tradnl"/>
        </w:rPr>
        <w:footnoteRef/>
      </w:r>
      <w:r w:rsidRPr="0028259F">
        <w:rPr>
          <w:lang w:val="es-ES_tradnl"/>
        </w:rPr>
        <w:t xml:space="preserve"> </w:t>
      </w:r>
      <w:r w:rsidRPr="0028259F">
        <w:rPr>
          <w:smallCaps/>
          <w:lang w:val="es-ES_tradnl"/>
        </w:rPr>
        <w:t>Cod. Civ. Esp</w:t>
      </w:r>
      <w:r w:rsidRPr="0028259F">
        <w:rPr>
          <w:lang w:val="es-ES_tradnl"/>
        </w:rPr>
        <w:t>. art. 240</w:t>
      </w:r>
      <w:r w:rsidR="00BE184E">
        <w:rPr>
          <w:lang w:val="es-ES_tradnl"/>
        </w:rPr>
        <w:t xml:space="preserve"> (España).</w:t>
      </w:r>
    </w:p>
  </w:footnote>
  <w:footnote w:id="12">
    <w:p w14:paraId="353A8D8A" w14:textId="310883DB" w:rsidR="00611C18" w:rsidRPr="00DE2028" w:rsidRDefault="00611C18">
      <w:pPr>
        <w:pStyle w:val="FootnoteText"/>
        <w:rPr>
          <w:lang w:val="es-PR"/>
        </w:rPr>
      </w:pPr>
      <w:r>
        <w:rPr>
          <w:rStyle w:val="FootnoteReference"/>
        </w:rPr>
        <w:footnoteRef/>
      </w:r>
      <w:r w:rsidRPr="00DE2028">
        <w:rPr>
          <w:lang w:val="es-PR"/>
        </w:rPr>
        <w:t xml:space="preserve"> </w:t>
      </w:r>
      <w:r w:rsidRPr="00611C18">
        <w:rPr>
          <w:i/>
          <w:iCs/>
          <w:lang w:val="es-ES_tradnl"/>
        </w:rPr>
        <w:t>Véase</w:t>
      </w:r>
      <w:r>
        <w:rPr>
          <w:i/>
          <w:iCs/>
          <w:lang w:val="es-ES_tradnl"/>
        </w:rPr>
        <w:t xml:space="preserve"> </w:t>
      </w:r>
      <w:r>
        <w:rPr>
          <w:lang w:val="es-ES_tradnl"/>
        </w:rPr>
        <w:t xml:space="preserve">Ley </w:t>
      </w:r>
      <w:r w:rsidRPr="00611C18">
        <w:rPr>
          <w:lang w:val="es-ES_tradnl"/>
        </w:rPr>
        <w:t>de 13 de diciembre de 1943</w:t>
      </w:r>
      <w:r>
        <w:rPr>
          <w:lang w:val="es-ES_tradnl"/>
        </w:rPr>
        <w:t xml:space="preserve"> (BOE 1943, 349) (España).</w:t>
      </w:r>
    </w:p>
  </w:footnote>
  <w:footnote w:id="13">
    <w:p w14:paraId="7CA3812B" w14:textId="77777777" w:rsidR="00D2010E" w:rsidRPr="00D2010E" w:rsidRDefault="00D2010E" w:rsidP="00D2010E">
      <w:pPr>
        <w:pStyle w:val="FootnoteText"/>
        <w:rPr>
          <w:rFonts w:cs="Times New Roman"/>
          <w:lang w:val="es-ES_tradnl"/>
        </w:rPr>
      </w:pPr>
      <w:r w:rsidRPr="00D2010E">
        <w:rPr>
          <w:rStyle w:val="FootnoteReference"/>
          <w:rFonts w:cs="Times New Roman"/>
          <w:lang w:val="es-ES_tradnl"/>
        </w:rPr>
        <w:footnoteRef/>
      </w:r>
      <w:r w:rsidRPr="00D2010E">
        <w:rPr>
          <w:rFonts w:cs="Times New Roman"/>
          <w:lang w:val="es-ES_tradnl"/>
        </w:rPr>
        <w:t xml:space="preserve"> Memorial Explicativo del Departamento de la Familia, en la pág. 4.</w:t>
      </w:r>
    </w:p>
  </w:footnote>
  <w:footnote w:id="14">
    <w:p w14:paraId="279F36B3" w14:textId="44F278AE" w:rsidR="00D2010E" w:rsidRPr="001E7408" w:rsidRDefault="00D2010E" w:rsidP="00D2010E">
      <w:pPr>
        <w:pStyle w:val="FootnoteText"/>
        <w:rPr>
          <w:rFonts w:asciiTheme="majorHAnsi" w:hAnsiTheme="majorHAnsi" w:cstheme="majorHAnsi"/>
          <w:lang w:val="es-ES_tradnl"/>
        </w:rPr>
      </w:pPr>
      <w:r w:rsidRPr="00D2010E">
        <w:rPr>
          <w:rStyle w:val="FootnoteReference"/>
          <w:rFonts w:cs="Times New Roman"/>
          <w:lang w:val="es-ES_tradnl"/>
        </w:rPr>
        <w:footnoteRef/>
      </w:r>
      <w:r w:rsidRPr="00D2010E">
        <w:rPr>
          <w:rFonts w:cs="Times New Roman"/>
          <w:lang w:val="es-ES_tradnl"/>
        </w:rPr>
        <w:t xml:space="preserve"> </w:t>
      </w:r>
      <w:r w:rsidRPr="00D2010E">
        <w:rPr>
          <w:rFonts w:cs="Times New Roman"/>
          <w:i/>
          <w:iCs/>
          <w:lang w:val="es-ES_tradnl"/>
        </w:rPr>
        <w:t xml:space="preserve">Id. </w:t>
      </w:r>
      <w:r w:rsidRPr="00D2010E">
        <w:rPr>
          <w:rFonts w:cs="Times New Roman"/>
          <w:lang w:val="es-ES_tradnl"/>
        </w:rPr>
        <w:t>en la pág. 5.</w:t>
      </w:r>
    </w:p>
  </w:footnote>
  <w:footnote w:id="15">
    <w:p w14:paraId="2202300B" w14:textId="250C7B89" w:rsidR="00D2010E" w:rsidRPr="007D4CD4" w:rsidRDefault="00D2010E" w:rsidP="00D2010E">
      <w:pPr>
        <w:pStyle w:val="FootnoteText"/>
        <w:rPr>
          <w:rFonts w:cs="Times New Roman"/>
          <w:i/>
          <w:iCs/>
          <w:lang w:val="es-ES_tradnl"/>
        </w:rPr>
      </w:pPr>
      <w:r w:rsidRPr="007D4CD4">
        <w:rPr>
          <w:rStyle w:val="FootnoteReference"/>
          <w:rFonts w:cs="Times New Roman"/>
          <w:lang w:val="es-ES_tradnl"/>
        </w:rPr>
        <w:footnoteRef/>
      </w:r>
      <w:r w:rsidRPr="007D4CD4">
        <w:rPr>
          <w:rFonts w:cs="Times New Roman"/>
          <w:lang w:val="es-ES_tradnl"/>
        </w:rPr>
        <w:t xml:space="preserve"> </w:t>
      </w:r>
      <w:r w:rsidRPr="007D4CD4">
        <w:rPr>
          <w:rFonts w:cs="Times New Roman"/>
          <w:i/>
          <w:iCs/>
          <w:lang w:val="es-ES_tradnl"/>
        </w:rPr>
        <w:t xml:space="preserve">Id. </w:t>
      </w:r>
      <w:r w:rsidRPr="007D4CD4">
        <w:rPr>
          <w:rFonts w:cs="Times New Roman"/>
          <w:lang w:val="es-ES_tradnl"/>
        </w:rPr>
        <w:t>en la pág. 6.</w:t>
      </w:r>
    </w:p>
  </w:footnote>
  <w:footnote w:id="16">
    <w:p w14:paraId="36A3B6D5" w14:textId="6AEC05D1" w:rsidR="00A768AD" w:rsidRPr="00DE2028" w:rsidRDefault="00A768AD" w:rsidP="00A768AD">
      <w:pPr>
        <w:pStyle w:val="FootnoteText"/>
        <w:rPr>
          <w:rFonts w:cs="Times New Roman"/>
          <w:lang w:val="es-PR"/>
        </w:rPr>
      </w:pPr>
      <w:r w:rsidRPr="007D4CD4">
        <w:rPr>
          <w:rStyle w:val="FootnoteReference"/>
          <w:rFonts w:cs="Times New Roman"/>
        </w:rPr>
        <w:footnoteRef/>
      </w:r>
      <w:r w:rsidRPr="00DE2028">
        <w:rPr>
          <w:rFonts w:cs="Times New Roman"/>
          <w:lang w:val="es-PR"/>
        </w:rPr>
        <w:t xml:space="preserve"> </w:t>
      </w:r>
      <w:r w:rsidRPr="007D4CD4">
        <w:rPr>
          <w:rFonts w:cs="Times New Roman"/>
          <w:i/>
          <w:iCs/>
          <w:lang w:val="es-ES_tradnl"/>
        </w:rPr>
        <w:t xml:space="preserve">Id. </w:t>
      </w:r>
      <w:r w:rsidRPr="007D4CD4">
        <w:rPr>
          <w:rFonts w:cs="Times New Roman"/>
          <w:lang w:val="es-ES_tradnl"/>
        </w:rPr>
        <w:t>en la pág. 7.</w:t>
      </w:r>
    </w:p>
  </w:footnote>
  <w:footnote w:id="17">
    <w:p w14:paraId="41A9CDF0" w14:textId="77777777" w:rsidR="00A768AD" w:rsidRPr="00DE2028" w:rsidRDefault="00A768AD" w:rsidP="00A768AD">
      <w:pPr>
        <w:pStyle w:val="FootnoteText"/>
        <w:rPr>
          <w:i/>
          <w:iCs/>
          <w:lang w:val="es-PR"/>
        </w:rPr>
      </w:pPr>
      <w:r w:rsidRPr="007D4CD4">
        <w:rPr>
          <w:rStyle w:val="FootnoteReference"/>
          <w:rFonts w:cs="Times New Roman"/>
        </w:rPr>
        <w:footnoteRef/>
      </w:r>
      <w:r w:rsidRPr="00DE2028">
        <w:rPr>
          <w:rFonts w:cs="Times New Roman"/>
          <w:lang w:val="es-PR"/>
        </w:rPr>
        <w:t xml:space="preserve"> </w:t>
      </w:r>
      <w:r w:rsidRPr="00DE2028">
        <w:rPr>
          <w:rFonts w:cs="Times New Roman"/>
          <w:i/>
          <w:iCs/>
          <w:lang w:val="es-PR"/>
        </w:rPr>
        <w:t>Id.</w:t>
      </w:r>
    </w:p>
  </w:footnote>
  <w:footnote w:id="18">
    <w:p w14:paraId="35E977AE" w14:textId="77777777" w:rsidR="007D4CD4" w:rsidRPr="007D4CD4" w:rsidRDefault="007D4CD4" w:rsidP="007D4CD4">
      <w:pPr>
        <w:pStyle w:val="FootnoteText"/>
        <w:jc w:val="both"/>
        <w:rPr>
          <w:rFonts w:cs="Times New Roman"/>
          <w:lang w:val="es-ES_tradnl"/>
        </w:rPr>
      </w:pPr>
      <w:r w:rsidRPr="007D4CD4">
        <w:rPr>
          <w:rStyle w:val="FootnoteReference"/>
          <w:rFonts w:cs="Times New Roman"/>
          <w:lang w:val="es-ES_tradnl"/>
        </w:rPr>
        <w:footnoteRef/>
      </w:r>
      <w:r w:rsidRPr="007D4CD4">
        <w:rPr>
          <w:rFonts w:cs="Times New Roman"/>
          <w:lang w:val="es-ES_tradnl"/>
        </w:rPr>
        <w:t xml:space="preserve"> Memorial Explicativo del Departamento de Justicia, en la pág. 4.</w:t>
      </w:r>
    </w:p>
  </w:footnote>
  <w:footnote w:id="19">
    <w:p w14:paraId="58A11637" w14:textId="77777777" w:rsidR="007D4CD4" w:rsidRPr="001E7408" w:rsidRDefault="007D4CD4" w:rsidP="007D4CD4">
      <w:pPr>
        <w:pStyle w:val="FootnoteText"/>
        <w:jc w:val="both"/>
        <w:rPr>
          <w:rFonts w:asciiTheme="majorHAnsi" w:hAnsiTheme="majorHAnsi" w:cstheme="majorHAnsi"/>
          <w:i/>
          <w:iCs/>
          <w:lang w:val="es-ES_tradnl"/>
        </w:rPr>
      </w:pPr>
      <w:r w:rsidRPr="007D4CD4">
        <w:rPr>
          <w:rStyle w:val="FootnoteReference"/>
          <w:rFonts w:cs="Times New Roman"/>
          <w:lang w:val="es-ES_tradnl"/>
        </w:rPr>
        <w:footnoteRef/>
      </w:r>
      <w:r w:rsidRPr="007D4CD4">
        <w:rPr>
          <w:rFonts w:cs="Times New Roman"/>
          <w:lang w:val="es-ES_tradnl"/>
        </w:rPr>
        <w:t xml:space="preserve"> </w:t>
      </w:r>
      <w:r w:rsidRPr="007D4CD4">
        <w:rPr>
          <w:rFonts w:cs="Times New Roman"/>
          <w:i/>
          <w:iCs/>
          <w:lang w:val="es-ES_tradnl"/>
        </w:rPr>
        <w:t>Id.</w:t>
      </w:r>
    </w:p>
  </w:footnote>
  <w:footnote w:id="20">
    <w:p w14:paraId="36DE2B2D" w14:textId="7BA814F7" w:rsidR="007D4CD4" w:rsidRPr="007471F0" w:rsidRDefault="007D4CD4" w:rsidP="007D4CD4">
      <w:pPr>
        <w:pStyle w:val="FootnoteText"/>
        <w:jc w:val="both"/>
        <w:rPr>
          <w:rFonts w:cs="Times New Roman"/>
          <w:i/>
          <w:iCs/>
          <w:lang w:val="es-ES_tradnl"/>
        </w:rPr>
      </w:pPr>
      <w:r w:rsidRPr="007471F0">
        <w:rPr>
          <w:rStyle w:val="FootnoteReference"/>
          <w:rFonts w:cs="Times New Roman"/>
          <w:lang w:val="es-ES_tradnl"/>
        </w:rPr>
        <w:footnoteRef/>
      </w:r>
      <w:r w:rsidRPr="007471F0">
        <w:rPr>
          <w:rFonts w:cs="Times New Roman"/>
          <w:lang w:val="es-ES_tradnl"/>
        </w:rPr>
        <w:t xml:space="preserve"> </w:t>
      </w:r>
      <w:r w:rsidRPr="007471F0">
        <w:rPr>
          <w:rFonts w:cs="Times New Roman"/>
          <w:i/>
          <w:iCs/>
          <w:lang w:val="es-ES_tradnl"/>
        </w:rPr>
        <w:t xml:space="preserve">Id. </w:t>
      </w:r>
      <w:r w:rsidRPr="007471F0">
        <w:rPr>
          <w:rFonts w:cs="Times New Roman"/>
          <w:lang w:val="es-ES_tradnl"/>
        </w:rPr>
        <w:t>en la pág. 5.</w:t>
      </w:r>
    </w:p>
  </w:footnote>
  <w:footnote w:id="21">
    <w:p w14:paraId="042B261B" w14:textId="77777777" w:rsidR="007D4CD4" w:rsidRPr="007471F0" w:rsidRDefault="007D4CD4" w:rsidP="007D4CD4">
      <w:pPr>
        <w:pStyle w:val="FootnoteText"/>
        <w:jc w:val="both"/>
        <w:rPr>
          <w:rFonts w:cs="Times New Roman"/>
          <w:lang w:val="es-ES_tradnl"/>
        </w:rPr>
      </w:pPr>
      <w:r w:rsidRPr="007471F0">
        <w:rPr>
          <w:rStyle w:val="FootnoteReference"/>
          <w:rFonts w:cs="Times New Roman"/>
          <w:lang w:val="es-ES_tradnl"/>
        </w:rPr>
        <w:footnoteRef/>
      </w:r>
      <w:r w:rsidRPr="007471F0">
        <w:rPr>
          <w:rFonts w:cs="Times New Roman"/>
          <w:lang w:val="es-ES_tradnl"/>
        </w:rPr>
        <w:t xml:space="preserve"> </w:t>
      </w:r>
      <w:r w:rsidRPr="007471F0">
        <w:rPr>
          <w:rFonts w:cs="Times New Roman"/>
          <w:i/>
          <w:iCs/>
          <w:lang w:val="es-ES_tradnl"/>
        </w:rPr>
        <w:t>Véase</w:t>
      </w:r>
      <w:r w:rsidRPr="007471F0">
        <w:rPr>
          <w:rFonts w:cs="Times New Roman"/>
          <w:lang w:val="es-ES_tradnl"/>
        </w:rPr>
        <w:t>, Ley de Menores de Puerto Rico, Ley Núm. 88 del 9 de julio de 1986, según enmendada, 34 L.P.R.A. § 2205 (2023).</w:t>
      </w:r>
    </w:p>
  </w:footnote>
  <w:footnote w:id="22">
    <w:p w14:paraId="6CC7F374" w14:textId="77777777" w:rsidR="0066786C" w:rsidRPr="00DE2028" w:rsidRDefault="0066786C" w:rsidP="0066786C">
      <w:pPr>
        <w:pStyle w:val="FootnoteText"/>
        <w:rPr>
          <w:rFonts w:cs="Times New Roman"/>
          <w:lang w:val="es-PR"/>
        </w:rPr>
      </w:pPr>
      <w:r w:rsidRPr="007471F0">
        <w:rPr>
          <w:rStyle w:val="FootnoteReference"/>
          <w:rFonts w:cs="Times New Roman"/>
          <w:lang w:val="es-ES_tradnl"/>
        </w:rPr>
        <w:footnoteRef/>
      </w:r>
      <w:r w:rsidRPr="007471F0">
        <w:rPr>
          <w:rFonts w:cs="Times New Roman"/>
          <w:lang w:val="es-ES_tradnl"/>
        </w:rPr>
        <w:t xml:space="preserve"> Departamento de Justicia, </w:t>
      </w:r>
      <w:r w:rsidRPr="007471F0">
        <w:rPr>
          <w:rFonts w:cs="Times New Roman"/>
          <w:i/>
          <w:iCs/>
          <w:lang w:val="es-ES_tradnl"/>
        </w:rPr>
        <w:t>supra</w:t>
      </w:r>
      <w:r w:rsidRPr="007471F0">
        <w:rPr>
          <w:rFonts w:cs="Times New Roman"/>
          <w:lang w:val="es-ES_tradnl"/>
        </w:rPr>
        <w:t>, en la pág. 6.</w:t>
      </w:r>
    </w:p>
  </w:footnote>
  <w:footnote w:id="23">
    <w:p w14:paraId="06533433" w14:textId="7A393340" w:rsidR="001A53B7" w:rsidRPr="00DE2028" w:rsidRDefault="001A53B7" w:rsidP="001A53B7">
      <w:pPr>
        <w:pStyle w:val="FootnoteText"/>
        <w:rPr>
          <w:rFonts w:asciiTheme="majorHAnsi" w:hAnsiTheme="majorHAnsi" w:cstheme="majorHAnsi"/>
          <w:lang w:val="es-PR"/>
        </w:rPr>
      </w:pPr>
      <w:r w:rsidRPr="007471F0">
        <w:rPr>
          <w:rStyle w:val="FootnoteReference"/>
          <w:rFonts w:cs="Times New Roman"/>
        </w:rPr>
        <w:footnoteRef/>
      </w:r>
      <w:r w:rsidRPr="00DE2028">
        <w:rPr>
          <w:rFonts w:cs="Times New Roman"/>
          <w:lang w:val="es-PR"/>
        </w:rPr>
        <w:t xml:space="preserve"> </w:t>
      </w:r>
      <w:r w:rsidRPr="007471F0">
        <w:rPr>
          <w:rFonts w:cs="Times New Roman"/>
          <w:i/>
          <w:iCs/>
          <w:lang w:val="es-ES_tradnl"/>
        </w:rPr>
        <w:t xml:space="preserve">Id. </w:t>
      </w:r>
      <w:r w:rsidRPr="007471F0">
        <w:rPr>
          <w:rFonts w:cs="Times New Roman"/>
          <w:lang w:val="es-ES_tradnl"/>
        </w:rPr>
        <w:t>en la pág. 7.</w:t>
      </w:r>
    </w:p>
  </w:footnote>
  <w:footnote w:id="24">
    <w:p w14:paraId="41062E4B" w14:textId="4A542142" w:rsidR="001A53B7" w:rsidRPr="007471F0" w:rsidRDefault="001A53B7" w:rsidP="001A53B7">
      <w:pPr>
        <w:pStyle w:val="FootnoteText"/>
        <w:rPr>
          <w:rFonts w:cs="Times New Roman"/>
          <w:lang w:val="es-ES_tradnl"/>
        </w:rPr>
      </w:pPr>
      <w:r w:rsidRPr="007471F0">
        <w:rPr>
          <w:rStyle w:val="FootnoteReference"/>
          <w:rFonts w:cs="Times New Roman"/>
          <w:lang w:val="es-ES_tradnl"/>
        </w:rPr>
        <w:footnoteRef/>
      </w:r>
      <w:r w:rsidRPr="007471F0">
        <w:rPr>
          <w:rFonts w:cs="Times New Roman"/>
          <w:lang w:val="es-ES_tradnl"/>
        </w:rPr>
        <w:t xml:space="preserve"> Memorial Explicativo del Colegio de </w:t>
      </w:r>
      <w:r w:rsidR="002626DF" w:rsidRPr="007471F0">
        <w:rPr>
          <w:rFonts w:cs="Times New Roman"/>
          <w:lang w:val="es-ES_tradnl"/>
        </w:rPr>
        <w:t>Abogados</w:t>
      </w:r>
      <w:r w:rsidRPr="007471F0">
        <w:rPr>
          <w:rFonts w:cs="Times New Roman"/>
          <w:lang w:val="es-ES_tradnl"/>
        </w:rPr>
        <w:t xml:space="preserve"> de Puerto Rico, en la pág. 4.</w:t>
      </w:r>
    </w:p>
  </w:footnote>
  <w:footnote w:id="25">
    <w:p w14:paraId="252ABBB4" w14:textId="7F701143" w:rsidR="001A53B7" w:rsidRPr="007471F0" w:rsidRDefault="001A53B7" w:rsidP="001A53B7">
      <w:pPr>
        <w:pStyle w:val="FootnoteText"/>
        <w:rPr>
          <w:rFonts w:cs="Times New Roman"/>
          <w:i/>
          <w:iCs/>
          <w:lang w:val="es-ES_tradnl"/>
        </w:rPr>
      </w:pPr>
      <w:r w:rsidRPr="007471F0">
        <w:rPr>
          <w:rStyle w:val="FootnoteReference"/>
          <w:rFonts w:cs="Times New Roman"/>
          <w:lang w:val="es-ES_tradnl"/>
        </w:rPr>
        <w:footnoteRef/>
      </w:r>
      <w:r w:rsidRPr="007471F0">
        <w:rPr>
          <w:rFonts w:cs="Times New Roman"/>
          <w:lang w:val="es-ES_tradnl"/>
        </w:rPr>
        <w:t xml:space="preserve"> </w:t>
      </w:r>
      <w:r w:rsidRPr="007471F0">
        <w:rPr>
          <w:rFonts w:cs="Times New Roman"/>
          <w:i/>
          <w:iCs/>
          <w:lang w:val="es-ES_tradnl"/>
        </w:rPr>
        <w:t xml:space="preserve">Id. </w:t>
      </w:r>
      <w:r w:rsidRPr="007471F0">
        <w:rPr>
          <w:rFonts w:cs="Times New Roman"/>
          <w:lang w:val="es-ES_tradnl"/>
        </w:rPr>
        <w:t>en la pág. 5.</w:t>
      </w:r>
    </w:p>
  </w:footnote>
  <w:footnote w:id="26">
    <w:p w14:paraId="736FB4AA" w14:textId="095330A7" w:rsidR="001A53B7" w:rsidRPr="00DE2028" w:rsidRDefault="001A53B7" w:rsidP="001A53B7">
      <w:pPr>
        <w:pStyle w:val="FootnoteText"/>
        <w:rPr>
          <w:rFonts w:asciiTheme="majorHAnsi" w:hAnsiTheme="majorHAnsi" w:cstheme="majorHAnsi"/>
          <w:lang w:val="es-PR"/>
        </w:rPr>
      </w:pPr>
      <w:r w:rsidRPr="007471F0">
        <w:rPr>
          <w:rStyle w:val="FootnoteReference"/>
          <w:rFonts w:cs="Times New Roman"/>
        </w:rPr>
        <w:footnoteRef/>
      </w:r>
      <w:r w:rsidRPr="00DE2028">
        <w:rPr>
          <w:rFonts w:cs="Times New Roman"/>
          <w:lang w:val="es-PR"/>
        </w:rPr>
        <w:t xml:space="preserve"> </w:t>
      </w:r>
      <w:r w:rsidRPr="007471F0">
        <w:rPr>
          <w:rFonts w:cs="Times New Roman"/>
          <w:i/>
          <w:iCs/>
          <w:lang w:val="es-ES_tradnl"/>
        </w:rPr>
        <w:t xml:space="preserve">Id. </w:t>
      </w:r>
      <w:r w:rsidRPr="007471F0">
        <w:rPr>
          <w:rFonts w:cs="Times New Roman"/>
          <w:lang w:val="es-ES_tradnl"/>
        </w:rPr>
        <w:t>en la pág. 6.</w:t>
      </w:r>
    </w:p>
  </w:footnote>
  <w:footnote w:id="27">
    <w:p w14:paraId="1F72DA84" w14:textId="77777777" w:rsidR="001A53B7" w:rsidRPr="00DE2028" w:rsidRDefault="001A53B7" w:rsidP="001A53B7">
      <w:pPr>
        <w:pStyle w:val="FootnoteText"/>
        <w:rPr>
          <w:rFonts w:cs="Times New Roman"/>
          <w:lang w:val="es-PR"/>
        </w:rPr>
      </w:pPr>
      <w:r w:rsidRPr="007471F0">
        <w:rPr>
          <w:rStyle w:val="FootnoteReference"/>
          <w:rFonts w:cs="Times New Roman"/>
        </w:rPr>
        <w:footnoteRef/>
      </w:r>
      <w:r w:rsidRPr="00DE2028">
        <w:rPr>
          <w:rFonts w:cs="Times New Roman"/>
          <w:lang w:val="es-PR"/>
        </w:rPr>
        <w:t xml:space="preserve"> </w:t>
      </w:r>
      <w:r w:rsidRPr="007471F0">
        <w:rPr>
          <w:rFonts w:cs="Times New Roman"/>
          <w:i/>
          <w:iCs/>
          <w:lang w:val="es-ES_tradnl"/>
        </w:rPr>
        <w:t>Id.</w:t>
      </w:r>
    </w:p>
  </w:footnote>
  <w:footnote w:id="28">
    <w:p w14:paraId="1435BE11" w14:textId="77777777" w:rsidR="001A53B7" w:rsidRPr="00152E58" w:rsidRDefault="001A53B7" w:rsidP="001A53B7">
      <w:pPr>
        <w:pStyle w:val="FootnoteText"/>
        <w:rPr>
          <w:rFonts w:cs="Times New Roman"/>
          <w:lang w:val="es-ES_tradnl"/>
        </w:rPr>
      </w:pPr>
      <w:r w:rsidRPr="00152E58">
        <w:rPr>
          <w:rStyle w:val="FootnoteReference"/>
          <w:rFonts w:cs="Times New Roman"/>
          <w:lang w:val="es-ES_tradnl"/>
        </w:rPr>
        <w:footnoteRef/>
      </w:r>
      <w:r w:rsidRPr="00152E58">
        <w:rPr>
          <w:rFonts w:cs="Times New Roman"/>
          <w:lang w:val="es-ES_tradnl"/>
        </w:rPr>
        <w:t xml:space="preserve"> Memorial Explicativo de la Universidad de Puerto Rico, en la pág. 3.</w:t>
      </w:r>
    </w:p>
  </w:footnote>
  <w:footnote w:id="29">
    <w:p w14:paraId="2623198E" w14:textId="7656654F" w:rsidR="00152E58" w:rsidRPr="00DE2028" w:rsidRDefault="00152E58">
      <w:pPr>
        <w:pStyle w:val="FootnoteText"/>
        <w:rPr>
          <w:lang w:val="es-PR"/>
        </w:rPr>
      </w:pPr>
      <w:r w:rsidRPr="00152E58">
        <w:rPr>
          <w:rStyle w:val="FootnoteReference"/>
          <w:rFonts w:cs="Times New Roman"/>
          <w:lang w:val="es-ES_tradnl"/>
        </w:rPr>
        <w:footnoteRef/>
      </w:r>
      <w:r w:rsidRPr="00152E58">
        <w:rPr>
          <w:rFonts w:cs="Times New Roman"/>
          <w:lang w:val="es-ES_tradnl"/>
        </w:rPr>
        <w:t xml:space="preserve"> Memorial Explicativo de la Oficina de Gerencia y Presupuesto, en la pág. 2.</w:t>
      </w:r>
    </w:p>
  </w:footnote>
  <w:footnote w:id="30">
    <w:p w14:paraId="6CC949EC" w14:textId="77777777" w:rsidR="001A53B7" w:rsidRPr="00DE2028" w:rsidRDefault="001A53B7" w:rsidP="001A53B7">
      <w:pPr>
        <w:pStyle w:val="FootnoteText"/>
        <w:rPr>
          <w:rFonts w:cs="Times New Roman"/>
          <w:lang w:val="es-PR"/>
        </w:rPr>
      </w:pPr>
      <w:r w:rsidRPr="007471F0">
        <w:rPr>
          <w:rStyle w:val="FootnoteReference"/>
          <w:rFonts w:cs="Times New Roman"/>
        </w:rPr>
        <w:footnoteRef/>
      </w:r>
      <w:r w:rsidRPr="00DE2028">
        <w:rPr>
          <w:rFonts w:cs="Times New Roman"/>
          <w:lang w:val="es-PR"/>
        </w:rPr>
        <w:t xml:space="preserve"> </w:t>
      </w:r>
      <w:r w:rsidRPr="007471F0">
        <w:rPr>
          <w:rFonts w:cs="Times New Roman"/>
          <w:lang w:val="es-ES_tradnl"/>
        </w:rPr>
        <w:t>Memorial Explicativo del Instituto del Desarrollo de la Juventud, en la pág. 1.</w:t>
      </w:r>
    </w:p>
  </w:footnote>
  <w:footnote w:id="31">
    <w:p w14:paraId="0125C1F9" w14:textId="577E2D24" w:rsidR="001A53B7" w:rsidRPr="007471F0" w:rsidRDefault="001A53B7" w:rsidP="001A53B7">
      <w:pPr>
        <w:pStyle w:val="FootnoteText"/>
        <w:rPr>
          <w:rFonts w:cs="Times New Roman"/>
          <w:lang w:val="es-ES_tradnl"/>
        </w:rPr>
      </w:pPr>
      <w:r w:rsidRPr="007471F0">
        <w:rPr>
          <w:rStyle w:val="FootnoteReference"/>
          <w:rFonts w:cs="Times New Roman"/>
          <w:lang w:val="es-ES_tradnl"/>
        </w:rPr>
        <w:footnoteRef/>
      </w:r>
      <w:r w:rsidRPr="007471F0">
        <w:rPr>
          <w:rFonts w:cs="Times New Roman"/>
          <w:lang w:val="es-ES_tradnl"/>
        </w:rPr>
        <w:t xml:space="preserve"> </w:t>
      </w:r>
      <w:r w:rsidRPr="007471F0">
        <w:rPr>
          <w:rFonts w:cs="Times New Roman"/>
          <w:i/>
          <w:iCs/>
          <w:lang w:val="es-ES_tradnl"/>
        </w:rPr>
        <w:t xml:space="preserve">Id. </w:t>
      </w:r>
      <w:r w:rsidRPr="007471F0">
        <w:rPr>
          <w:rFonts w:cs="Times New Roman"/>
          <w:lang w:val="es-ES_tradnl"/>
        </w:rPr>
        <w:t>en la pág. 2.</w:t>
      </w:r>
    </w:p>
  </w:footnote>
  <w:footnote w:id="32">
    <w:p w14:paraId="208F1BD7" w14:textId="1E9699F1" w:rsidR="001A53B7" w:rsidRPr="007471F0" w:rsidRDefault="001A53B7" w:rsidP="001A53B7">
      <w:pPr>
        <w:pStyle w:val="FootnoteText"/>
        <w:rPr>
          <w:rFonts w:cs="Times New Roman"/>
          <w:lang w:val="es-ES_tradnl"/>
        </w:rPr>
      </w:pPr>
      <w:r w:rsidRPr="007471F0">
        <w:rPr>
          <w:rStyle w:val="FootnoteReference"/>
          <w:rFonts w:cs="Times New Roman"/>
          <w:lang w:val="es-ES_tradnl"/>
        </w:rPr>
        <w:footnoteRef/>
      </w:r>
      <w:r w:rsidRPr="007471F0">
        <w:rPr>
          <w:rFonts w:cs="Times New Roman"/>
          <w:lang w:val="es-ES_tradnl"/>
        </w:rPr>
        <w:t xml:space="preserve"> </w:t>
      </w:r>
      <w:r w:rsidRPr="007471F0">
        <w:rPr>
          <w:rFonts w:cs="Times New Roman"/>
          <w:i/>
          <w:iCs/>
          <w:lang w:val="es-ES_tradnl"/>
        </w:rPr>
        <w:t xml:space="preserve">Id. </w:t>
      </w:r>
      <w:r w:rsidRPr="007471F0">
        <w:rPr>
          <w:rFonts w:cs="Times New Roman"/>
          <w:lang w:val="es-ES_tradnl"/>
        </w:rPr>
        <w:t>en la pág. 3.</w:t>
      </w:r>
    </w:p>
  </w:footnote>
  <w:footnote w:id="33">
    <w:p w14:paraId="2D2BCB4B" w14:textId="129C808E" w:rsidR="001A53B7" w:rsidRPr="007471F0" w:rsidRDefault="001A53B7" w:rsidP="001A53B7">
      <w:pPr>
        <w:pStyle w:val="FootnoteText"/>
        <w:rPr>
          <w:rFonts w:cs="Times New Roman"/>
          <w:lang w:val="es-ES_tradnl"/>
        </w:rPr>
      </w:pPr>
      <w:r w:rsidRPr="007471F0">
        <w:rPr>
          <w:rStyle w:val="FootnoteReference"/>
          <w:rFonts w:cs="Times New Roman"/>
          <w:lang w:val="es-ES_tradnl"/>
        </w:rPr>
        <w:footnoteRef/>
      </w:r>
      <w:r w:rsidRPr="007471F0">
        <w:rPr>
          <w:rFonts w:cs="Times New Roman"/>
          <w:lang w:val="es-ES_tradnl"/>
        </w:rPr>
        <w:t xml:space="preserve"> </w:t>
      </w:r>
      <w:r w:rsidRPr="007471F0">
        <w:rPr>
          <w:rFonts w:cs="Times New Roman"/>
          <w:i/>
          <w:iCs/>
          <w:lang w:val="es-ES_tradnl"/>
        </w:rPr>
        <w:t xml:space="preserve">Id. </w:t>
      </w:r>
      <w:r w:rsidRPr="007471F0">
        <w:rPr>
          <w:rFonts w:cs="Times New Roman"/>
          <w:lang w:val="es-ES_tradnl"/>
        </w:rPr>
        <w:t>en la pág. 3.</w:t>
      </w:r>
    </w:p>
  </w:footnote>
  <w:footnote w:id="34">
    <w:p w14:paraId="0422C677" w14:textId="77777777" w:rsidR="001A53B7" w:rsidRPr="001E7408" w:rsidRDefault="001A53B7" w:rsidP="001A53B7">
      <w:pPr>
        <w:pStyle w:val="FootnoteText"/>
        <w:rPr>
          <w:rFonts w:asciiTheme="majorHAnsi" w:hAnsiTheme="majorHAnsi" w:cstheme="majorHAnsi"/>
          <w:lang w:val="es-ES_tradnl"/>
        </w:rPr>
      </w:pPr>
      <w:r w:rsidRPr="007471F0">
        <w:rPr>
          <w:rStyle w:val="FootnoteReference"/>
          <w:rFonts w:cs="Times New Roman"/>
          <w:lang w:val="es-ES_tradnl"/>
        </w:rPr>
        <w:footnoteRef/>
      </w:r>
      <w:r w:rsidRPr="007471F0">
        <w:rPr>
          <w:rFonts w:cs="Times New Roman"/>
          <w:lang w:val="es-ES_tradnl"/>
        </w:rPr>
        <w:t xml:space="preserve"> Memorial Explicativo de la Asociación de Compañías de Seguros de Puerto Rico, en la pág. 2.</w:t>
      </w:r>
    </w:p>
  </w:footnote>
  <w:footnote w:id="35">
    <w:p w14:paraId="452486A1" w14:textId="77777777" w:rsidR="001A53B7" w:rsidRPr="00DE2028" w:rsidRDefault="001A53B7" w:rsidP="001A53B7">
      <w:pPr>
        <w:pStyle w:val="FootnoteText"/>
        <w:rPr>
          <w:rFonts w:cs="Times New Roman"/>
          <w:lang w:val="es-PR"/>
        </w:rPr>
      </w:pPr>
      <w:r w:rsidRPr="007471F0">
        <w:rPr>
          <w:rStyle w:val="FootnoteReference"/>
          <w:rFonts w:cs="Times New Roman"/>
          <w:lang w:val="es-ES_tradnl"/>
        </w:rPr>
        <w:footnoteRef/>
      </w:r>
      <w:r w:rsidRPr="007471F0">
        <w:rPr>
          <w:rFonts w:cs="Times New Roman"/>
          <w:lang w:val="es-ES_tradnl"/>
        </w:rPr>
        <w:t xml:space="preserve"> Memorial Explicativo de la Asociación de Bancos de Puerto Rico, en la pág. 2.</w:t>
      </w:r>
    </w:p>
  </w:footnote>
  <w:footnote w:id="36">
    <w:p w14:paraId="254DA3F2" w14:textId="18FC7E70" w:rsidR="001A53B7" w:rsidRPr="001E7408" w:rsidRDefault="001A53B7" w:rsidP="001A53B7">
      <w:pPr>
        <w:pStyle w:val="FootnoteText"/>
        <w:rPr>
          <w:rFonts w:asciiTheme="majorHAnsi" w:hAnsiTheme="majorHAnsi" w:cstheme="majorHAnsi"/>
          <w:i/>
          <w:iCs/>
          <w:lang w:val="es-ES_tradnl"/>
        </w:rPr>
      </w:pPr>
      <w:r w:rsidRPr="007471F0">
        <w:rPr>
          <w:rStyle w:val="FootnoteReference"/>
          <w:rFonts w:cs="Times New Roman"/>
          <w:lang w:val="es-ES_tradnl"/>
        </w:rPr>
        <w:footnoteRef/>
      </w:r>
      <w:r w:rsidRPr="007471F0">
        <w:rPr>
          <w:rFonts w:cs="Times New Roman"/>
          <w:lang w:val="es-ES_tradnl"/>
        </w:rPr>
        <w:t xml:space="preserve"> </w:t>
      </w:r>
      <w:r w:rsidRPr="007471F0">
        <w:rPr>
          <w:rFonts w:cs="Times New Roman"/>
          <w:i/>
          <w:iCs/>
          <w:lang w:val="es-ES_tradnl"/>
        </w:rPr>
        <w:t>Id.</w:t>
      </w:r>
      <w:r w:rsidRPr="007471F0">
        <w:rPr>
          <w:rFonts w:cs="Times New Roman"/>
          <w:lang w:val="es-ES_tradnl"/>
        </w:rPr>
        <w:t xml:space="preserve"> en la pág.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465161"/>
      <w:docPartObj>
        <w:docPartGallery w:val="Page Numbers (Top of Page)"/>
        <w:docPartUnique/>
      </w:docPartObj>
    </w:sdtPr>
    <w:sdtEndPr>
      <w:rPr>
        <w:noProof/>
      </w:rPr>
    </w:sdtEndPr>
    <w:sdtContent>
      <w:p w14:paraId="7E2FE653" w14:textId="45253203" w:rsidR="00937BCA" w:rsidRDefault="00937BCA">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FAA05D" w14:textId="77777777" w:rsidR="00937BCA" w:rsidRDefault="00937B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7FA8"/>
    <w:multiLevelType w:val="hybridMultilevel"/>
    <w:tmpl w:val="0FC0932A"/>
    <w:lvl w:ilvl="0" w:tplc="FFFFFFFF">
      <w:start w:val="1"/>
      <w:numFmt w:val="upperLetter"/>
      <w:lvlText w:val="%1."/>
      <w:lvlJc w:val="left"/>
      <w:pPr>
        <w:ind w:left="720" w:hanging="360"/>
      </w:pPr>
      <w:rPr>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59A6B1A"/>
    <w:multiLevelType w:val="hybridMultilevel"/>
    <w:tmpl w:val="C71612EC"/>
    <w:lvl w:ilvl="0" w:tplc="4C6A0132">
      <w:start w:val="1"/>
      <w:numFmt w:val="upperLetter"/>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9191767">
    <w:abstractNumId w:val="1"/>
  </w:num>
  <w:num w:numId="2" w16cid:durableId="555821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43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BCA"/>
    <w:rsid w:val="000035C6"/>
    <w:rsid w:val="000218F1"/>
    <w:rsid w:val="00021925"/>
    <w:rsid w:val="000269E7"/>
    <w:rsid w:val="00053133"/>
    <w:rsid w:val="0005350B"/>
    <w:rsid w:val="00060B6B"/>
    <w:rsid w:val="0006476C"/>
    <w:rsid w:val="0007161D"/>
    <w:rsid w:val="00072CE6"/>
    <w:rsid w:val="00075217"/>
    <w:rsid w:val="0009788C"/>
    <w:rsid w:val="000A077B"/>
    <w:rsid w:val="000A4B86"/>
    <w:rsid w:val="000C43CB"/>
    <w:rsid w:val="000D2D54"/>
    <w:rsid w:val="000D3E0A"/>
    <w:rsid w:val="000F238C"/>
    <w:rsid w:val="00105DF0"/>
    <w:rsid w:val="001128BC"/>
    <w:rsid w:val="0013691A"/>
    <w:rsid w:val="00136CCA"/>
    <w:rsid w:val="00152E58"/>
    <w:rsid w:val="00154B7E"/>
    <w:rsid w:val="0015605E"/>
    <w:rsid w:val="0016169E"/>
    <w:rsid w:val="001A36D0"/>
    <w:rsid w:val="001A53B7"/>
    <w:rsid w:val="001B228B"/>
    <w:rsid w:val="001D6CEC"/>
    <w:rsid w:val="001E6569"/>
    <w:rsid w:val="001F0433"/>
    <w:rsid w:val="001F5A76"/>
    <w:rsid w:val="0020745F"/>
    <w:rsid w:val="00211576"/>
    <w:rsid w:val="00222BB7"/>
    <w:rsid w:val="00223808"/>
    <w:rsid w:val="002513E9"/>
    <w:rsid w:val="002626DF"/>
    <w:rsid w:val="00262F4E"/>
    <w:rsid w:val="00270947"/>
    <w:rsid w:val="00273400"/>
    <w:rsid w:val="0028259F"/>
    <w:rsid w:val="00283004"/>
    <w:rsid w:val="002A09EE"/>
    <w:rsid w:val="002A12A4"/>
    <w:rsid w:val="002A1A61"/>
    <w:rsid w:val="002A268D"/>
    <w:rsid w:val="002B4BCB"/>
    <w:rsid w:val="002B7F81"/>
    <w:rsid w:val="002C2444"/>
    <w:rsid w:val="002D4DC4"/>
    <w:rsid w:val="002F6EC9"/>
    <w:rsid w:val="00313F16"/>
    <w:rsid w:val="00335B36"/>
    <w:rsid w:val="00341ECB"/>
    <w:rsid w:val="00343DF7"/>
    <w:rsid w:val="00350E67"/>
    <w:rsid w:val="0035226A"/>
    <w:rsid w:val="00355962"/>
    <w:rsid w:val="003743CE"/>
    <w:rsid w:val="00380FED"/>
    <w:rsid w:val="00383FFB"/>
    <w:rsid w:val="003B1BA5"/>
    <w:rsid w:val="003D2C3D"/>
    <w:rsid w:val="003E00A0"/>
    <w:rsid w:val="003F5525"/>
    <w:rsid w:val="003F6014"/>
    <w:rsid w:val="00412449"/>
    <w:rsid w:val="004223F7"/>
    <w:rsid w:val="00456875"/>
    <w:rsid w:val="00463FD1"/>
    <w:rsid w:val="00484184"/>
    <w:rsid w:val="00494FAF"/>
    <w:rsid w:val="00495FF2"/>
    <w:rsid w:val="004962FE"/>
    <w:rsid w:val="0049739E"/>
    <w:rsid w:val="004A3F76"/>
    <w:rsid w:val="004A6989"/>
    <w:rsid w:val="004A69F8"/>
    <w:rsid w:val="004A6A66"/>
    <w:rsid w:val="004A6DA5"/>
    <w:rsid w:val="004B73EA"/>
    <w:rsid w:val="004C08EA"/>
    <w:rsid w:val="004E21C5"/>
    <w:rsid w:val="004F18BC"/>
    <w:rsid w:val="004F4266"/>
    <w:rsid w:val="004F451D"/>
    <w:rsid w:val="005113B9"/>
    <w:rsid w:val="0051215D"/>
    <w:rsid w:val="005130BB"/>
    <w:rsid w:val="00520CBD"/>
    <w:rsid w:val="0054302F"/>
    <w:rsid w:val="0054617B"/>
    <w:rsid w:val="005600C6"/>
    <w:rsid w:val="00577D9A"/>
    <w:rsid w:val="00593F0B"/>
    <w:rsid w:val="005A7A35"/>
    <w:rsid w:val="005B0FCC"/>
    <w:rsid w:val="005B33E9"/>
    <w:rsid w:val="005B5BE1"/>
    <w:rsid w:val="005C0B5D"/>
    <w:rsid w:val="005C3B10"/>
    <w:rsid w:val="005C3F4D"/>
    <w:rsid w:val="005D353A"/>
    <w:rsid w:val="005E3B2D"/>
    <w:rsid w:val="005F7A97"/>
    <w:rsid w:val="0060030C"/>
    <w:rsid w:val="00600B79"/>
    <w:rsid w:val="0060177C"/>
    <w:rsid w:val="006106D4"/>
    <w:rsid w:val="00611C18"/>
    <w:rsid w:val="006122C1"/>
    <w:rsid w:val="006223FC"/>
    <w:rsid w:val="00630CE8"/>
    <w:rsid w:val="006310C8"/>
    <w:rsid w:val="00644378"/>
    <w:rsid w:val="00646A73"/>
    <w:rsid w:val="00647672"/>
    <w:rsid w:val="00656BEC"/>
    <w:rsid w:val="00660CDE"/>
    <w:rsid w:val="0066786C"/>
    <w:rsid w:val="00677D9B"/>
    <w:rsid w:val="006A1C69"/>
    <w:rsid w:val="006A6EB8"/>
    <w:rsid w:val="006D6985"/>
    <w:rsid w:val="006E7900"/>
    <w:rsid w:val="006F2635"/>
    <w:rsid w:val="006F391B"/>
    <w:rsid w:val="0070206D"/>
    <w:rsid w:val="00711072"/>
    <w:rsid w:val="00712075"/>
    <w:rsid w:val="007267BE"/>
    <w:rsid w:val="00726D5B"/>
    <w:rsid w:val="0074034C"/>
    <w:rsid w:val="00740CF5"/>
    <w:rsid w:val="00744050"/>
    <w:rsid w:val="00744748"/>
    <w:rsid w:val="007471F0"/>
    <w:rsid w:val="00753846"/>
    <w:rsid w:val="00754031"/>
    <w:rsid w:val="00763BE6"/>
    <w:rsid w:val="00764399"/>
    <w:rsid w:val="007758EC"/>
    <w:rsid w:val="0077732A"/>
    <w:rsid w:val="0077771B"/>
    <w:rsid w:val="00796520"/>
    <w:rsid w:val="007B060F"/>
    <w:rsid w:val="007C3A57"/>
    <w:rsid w:val="007C4663"/>
    <w:rsid w:val="007D4813"/>
    <w:rsid w:val="007D4CD4"/>
    <w:rsid w:val="007D55C6"/>
    <w:rsid w:val="007E0B59"/>
    <w:rsid w:val="007F4FCA"/>
    <w:rsid w:val="008101DA"/>
    <w:rsid w:val="00820499"/>
    <w:rsid w:val="00822755"/>
    <w:rsid w:val="00835F62"/>
    <w:rsid w:val="00837EEB"/>
    <w:rsid w:val="00850EE0"/>
    <w:rsid w:val="00863AFA"/>
    <w:rsid w:val="008661B0"/>
    <w:rsid w:val="008701D6"/>
    <w:rsid w:val="00876EFF"/>
    <w:rsid w:val="00881D8C"/>
    <w:rsid w:val="00893A37"/>
    <w:rsid w:val="00894494"/>
    <w:rsid w:val="008A1B05"/>
    <w:rsid w:val="008B446C"/>
    <w:rsid w:val="008B7194"/>
    <w:rsid w:val="008D32F7"/>
    <w:rsid w:val="008E17B6"/>
    <w:rsid w:val="008E52CB"/>
    <w:rsid w:val="00925DFF"/>
    <w:rsid w:val="00937BCA"/>
    <w:rsid w:val="00937C51"/>
    <w:rsid w:val="00954DA6"/>
    <w:rsid w:val="009616C8"/>
    <w:rsid w:val="0096250F"/>
    <w:rsid w:val="00964EE7"/>
    <w:rsid w:val="0097063B"/>
    <w:rsid w:val="00982C22"/>
    <w:rsid w:val="00983FAC"/>
    <w:rsid w:val="0099790D"/>
    <w:rsid w:val="009A7690"/>
    <w:rsid w:val="009B5591"/>
    <w:rsid w:val="009C2BF4"/>
    <w:rsid w:val="009C6F3D"/>
    <w:rsid w:val="009E7D33"/>
    <w:rsid w:val="009F674B"/>
    <w:rsid w:val="00A021D3"/>
    <w:rsid w:val="00A11DA8"/>
    <w:rsid w:val="00A2012A"/>
    <w:rsid w:val="00A236B3"/>
    <w:rsid w:val="00A319B2"/>
    <w:rsid w:val="00A37FCC"/>
    <w:rsid w:val="00A5041E"/>
    <w:rsid w:val="00A768AD"/>
    <w:rsid w:val="00A846D4"/>
    <w:rsid w:val="00A87FD8"/>
    <w:rsid w:val="00A93142"/>
    <w:rsid w:val="00AA0820"/>
    <w:rsid w:val="00AA4F2B"/>
    <w:rsid w:val="00AB4A8E"/>
    <w:rsid w:val="00AB7A91"/>
    <w:rsid w:val="00AD2CA7"/>
    <w:rsid w:val="00AE6E5E"/>
    <w:rsid w:val="00B30675"/>
    <w:rsid w:val="00B3753A"/>
    <w:rsid w:val="00B433A0"/>
    <w:rsid w:val="00B43E52"/>
    <w:rsid w:val="00B72DB3"/>
    <w:rsid w:val="00B74384"/>
    <w:rsid w:val="00B80113"/>
    <w:rsid w:val="00B82F8E"/>
    <w:rsid w:val="00B85B95"/>
    <w:rsid w:val="00B87875"/>
    <w:rsid w:val="00BB1A5B"/>
    <w:rsid w:val="00BC61B3"/>
    <w:rsid w:val="00BD1DC8"/>
    <w:rsid w:val="00BD2DDD"/>
    <w:rsid w:val="00BD5438"/>
    <w:rsid w:val="00BE184E"/>
    <w:rsid w:val="00C40721"/>
    <w:rsid w:val="00C4332D"/>
    <w:rsid w:val="00C5332D"/>
    <w:rsid w:val="00C567D4"/>
    <w:rsid w:val="00C61C00"/>
    <w:rsid w:val="00C7220A"/>
    <w:rsid w:val="00C74603"/>
    <w:rsid w:val="00C75E75"/>
    <w:rsid w:val="00C76B7D"/>
    <w:rsid w:val="00C80BDF"/>
    <w:rsid w:val="00C97D13"/>
    <w:rsid w:val="00CC0120"/>
    <w:rsid w:val="00CC5981"/>
    <w:rsid w:val="00CC7629"/>
    <w:rsid w:val="00CE3371"/>
    <w:rsid w:val="00CF425D"/>
    <w:rsid w:val="00D053BD"/>
    <w:rsid w:val="00D1163E"/>
    <w:rsid w:val="00D162E5"/>
    <w:rsid w:val="00D2010E"/>
    <w:rsid w:val="00D2046A"/>
    <w:rsid w:val="00D24295"/>
    <w:rsid w:val="00D41C58"/>
    <w:rsid w:val="00D5015C"/>
    <w:rsid w:val="00D54DB6"/>
    <w:rsid w:val="00D57763"/>
    <w:rsid w:val="00D728DE"/>
    <w:rsid w:val="00D822BA"/>
    <w:rsid w:val="00D93C02"/>
    <w:rsid w:val="00DA050B"/>
    <w:rsid w:val="00DA2102"/>
    <w:rsid w:val="00DA5A3C"/>
    <w:rsid w:val="00DC4747"/>
    <w:rsid w:val="00DE2028"/>
    <w:rsid w:val="00DE3452"/>
    <w:rsid w:val="00DF0F73"/>
    <w:rsid w:val="00DF1B05"/>
    <w:rsid w:val="00DF1FF5"/>
    <w:rsid w:val="00DF76DA"/>
    <w:rsid w:val="00DF7D93"/>
    <w:rsid w:val="00E1357B"/>
    <w:rsid w:val="00E1362F"/>
    <w:rsid w:val="00E217E9"/>
    <w:rsid w:val="00E36055"/>
    <w:rsid w:val="00E72C2A"/>
    <w:rsid w:val="00E74436"/>
    <w:rsid w:val="00E8216B"/>
    <w:rsid w:val="00E94248"/>
    <w:rsid w:val="00EA4393"/>
    <w:rsid w:val="00EB4C93"/>
    <w:rsid w:val="00EC142C"/>
    <w:rsid w:val="00EC3815"/>
    <w:rsid w:val="00ED030A"/>
    <w:rsid w:val="00ED22B3"/>
    <w:rsid w:val="00EE02F4"/>
    <w:rsid w:val="00EE5FCE"/>
    <w:rsid w:val="00EF5C54"/>
    <w:rsid w:val="00F15967"/>
    <w:rsid w:val="00F16C0E"/>
    <w:rsid w:val="00F24D13"/>
    <w:rsid w:val="00F333B5"/>
    <w:rsid w:val="00F40436"/>
    <w:rsid w:val="00F41002"/>
    <w:rsid w:val="00F6560D"/>
    <w:rsid w:val="00F76130"/>
    <w:rsid w:val="00F77A8D"/>
    <w:rsid w:val="00F83CB7"/>
    <w:rsid w:val="00F90585"/>
    <w:rsid w:val="00F95BCC"/>
    <w:rsid w:val="00F96B9F"/>
    <w:rsid w:val="00FA6BAF"/>
    <w:rsid w:val="00FB303E"/>
    <w:rsid w:val="00FC46A0"/>
    <w:rsid w:val="00FE256A"/>
    <w:rsid w:val="00FE319F"/>
    <w:rsid w:val="00FE7EAE"/>
    <w:rsid w:val="00FF0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C3624"/>
  <w15:chartTrackingRefBased/>
  <w15:docId w15:val="{43518585-EA15-4EA8-8441-612044A0C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 Antiqua" w:eastAsiaTheme="minorHAnsi" w:hAnsi="Book Antiqua"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B7E"/>
    <w:rPr>
      <w:rFonts w:ascii="Times New Roman" w:hAnsi="Times New Roman"/>
    </w:rPr>
  </w:style>
  <w:style w:type="paragraph" w:styleId="Heading1">
    <w:name w:val="heading 1"/>
    <w:basedOn w:val="Normal"/>
    <w:next w:val="Normal"/>
    <w:link w:val="Heading1Char"/>
    <w:uiPriority w:val="9"/>
    <w:qFormat/>
    <w:rsid w:val="00E217E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7BCA"/>
    <w:pPr>
      <w:spacing w:after="240"/>
      <w:jc w:val="center"/>
    </w:pPr>
    <w:rPr>
      <w:rFonts w:ascii="Book Antiqua" w:eastAsiaTheme="majorEastAsia" w:hAnsi="Book Antiqua" w:cstheme="majorBidi"/>
      <w:b/>
      <w:color w:val="000000" w:themeColor="text1"/>
      <w:spacing w:val="-10"/>
      <w:kern w:val="28"/>
      <w:szCs w:val="56"/>
      <w:u w:val="single"/>
    </w:rPr>
  </w:style>
  <w:style w:type="character" w:customStyle="1" w:styleId="TitleChar">
    <w:name w:val="Title Char"/>
    <w:basedOn w:val="DefaultParagraphFont"/>
    <w:link w:val="Title"/>
    <w:uiPriority w:val="10"/>
    <w:rsid w:val="00937BCA"/>
    <w:rPr>
      <w:rFonts w:eastAsiaTheme="majorEastAsia" w:cstheme="majorBidi"/>
      <w:b/>
      <w:color w:val="000000" w:themeColor="text1"/>
      <w:spacing w:val="-10"/>
      <w:kern w:val="28"/>
      <w:szCs w:val="56"/>
      <w:u w:val="single"/>
    </w:rPr>
  </w:style>
  <w:style w:type="paragraph" w:styleId="FootnoteText">
    <w:name w:val="footnote text"/>
    <w:basedOn w:val="Normal"/>
    <w:link w:val="FootnoteTextChar"/>
    <w:uiPriority w:val="99"/>
    <w:semiHidden/>
    <w:unhideWhenUsed/>
    <w:rsid w:val="00937BCA"/>
    <w:rPr>
      <w:sz w:val="20"/>
      <w:szCs w:val="20"/>
    </w:rPr>
  </w:style>
  <w:style w:type="character" w:customStyle="1" w:styleId="FootnoteTextChar">
    <w:name w:val="Footnote Text Char"/>
    <w:basedOn w:val="DefaultParagraphFont"/>
    <w:link w:val="FootnoteText"/>
    <w:uiPriority w:val="99"/>
    <w:semiHidden/>
    <w:rsid w:val="00937BCA"/>
    <w:rPr>
      <w:rFonts w:ascii="Times New Roman" w:hAnsi="Times New Roman"/>
      <w:sz w:val="20"/>
      <w:szCs w:val="20"/>
    </w:rPr>
  </w:style>
  <w:style w:type="character" w:styleId="FootnoteReference">
    <w:name w:val="footnote reference"/>
    <w:uiPriority w:val="99"/>
    <w:rsid w:val="00937BCA"/>
    <w:rPr>
      <w:vertAlign w:val="superscript"/>
    </w:rPr>
  </w:style>
  <w:style w:type="paragraph" w:styleId="Header">
    <w:name w:val="header"/>
    <w:basedOn w:val="Normal"/>
    <w:link w:val="HeaderChar"/>
    <w:uiPriority w:val="99"/>
    <w:unhideWhenUsed/>
    <w:rsid w:val="00937BCA"/>
    <w:pPr>
      <w:tabs>
        <w:tab w:val="center" w:pos="4680"/>
        <w:tab w:val="right" w:pos="9360"/>
      </w:tabs>
    </w:pPr>
  </w:style>
  <w:style w:type="character" w:customStyle="1" w:styleId="HeaderChar">
    <w:name w:val="Header Char"/>
    <w:basedOn w:val="DefaultParagraphFont"/>
    <w:link w:val="Header"/>
    <w:uiPriority w:val="99"/>
    <w:rsid w:val="00937BCA"/>
    <w:rPr>
      <w:rFonts w:ascii="Times New Roman" w:hAnsi="Times New Roman"/>
    </w:rPr>
  </w:style>
  <w:style w:type="paragraph" w:styleId="Footer">
    <w:name w:val="footer"/>
    <w:basedOn w:val="Normal"/>
    <w:link w:val="FooterChar"/>
    <w:uiPriority w:val="99"/>
    <w:unhideWhenUsed/>
    <w:rsid w:val="00937BCA"/>
    <w:pPr>
      <w:tabs>
        <w:tab w:val="center" w:pos="4680"/>
        <w:tab w:val="right" w:pos="9360"/>
      </w:tabs>
    </w:pPr>
  </w:style>
  <w:style w:type="character" w:customStyle="1" w:styleId="FooterChar">
    <w:name w:val="Footer Char"/>
    <w:basedOn w:val="DefaultParagraphFont"/>
    <w:link w:val="Footer"/>
    <w:uiPriority w:val="99"/>
    <w:rsid w:val="00937BCA"/>
    <w:rPr>
      <w:rFonts w:ascii="Times New Roman" w:hAnsi="Times New Roman"/>
    </w:rPr>
  </w:style>
  <w:style w:type="character" w:customStyle="1" w:styleId="Heading1Char">
    <w:name w:val="Heading 1 Char"/>
    <w:basedOn w:val="DefaultParagraphFont"/>
    <w:link w:val="Heading1"/>
    <w:uiPriority w:val="9"/>
    <w:rsid w:val="00E217E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E00A0"/>
    <w:rPr>
      <w:color w:val="0563C1" w:themeColor="hyperlink"/>
      <w:u w:val="single"/>
    </w:rPr>
  </w:style>
  <w:style w:type="paragraph" w:styleId="ListParagraph">
    <w:name w:val="List Paragraph"/>
    <w:basedOn w:val="Normal"/>
    <w:uiPriority w:val="34"/>
    <w:qFormat/>
    <w:rsid w:val="00726D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777793">
      <w:bodyDiv w:val="1"/>
      <w:marLeft w:val="0"/>
      <w:marRight w:val="0"/>
      <w:marTop w:val="0"/>
      <w:marBottom w:val="0"/>
      <w:divBdr>
        <w:top w:val="none" w:sz="0" w:space="0" w:color="auto"/>
        <w:left w:val="none" w:sz="0" w:space="0" w:color="auto"/>
        <w:bottom w:val="none" w:sz="0" w:space="0" w:color="auto"/>
        <w:right w:val="none" w:sz="0" w:space="0" w:color="auto"/>
      </w:divBdr>
    </w:div>
    <w:div w:id="56178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5.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1" Type="http://schemas.openxmlformats.org/officeDocument/2006/relationships/hyperlink" Target="https://www.unicef.org/media/52626/fi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C58FC75B682744FB4A53C756BEDC3A3" ma:contentTypeVersion="15" ma:contentTypeDescription="Create a new document." ma:contentTypeScope="" ma:versionID="a9e464653cf2bcbd18e0b128148b6119">
  <xsd:schema xmlns:xsd="http://www.w3.org/2001/XMLSchema" xmlns:xs="http://www.w3.org/2001/XMLSchema" xmlns:p="http://schemas.microsoft.com/office/2006/metadata/properties" xmlns:ns1="http://schemas.microsoft.com/sharepoint/v3" xmlns:ns2="c890fddd-4e87-4e08-8b51-545f2a3f7b06" xmlns:ns3="f29de0d1-023e-4363-82d3-bb472b30be6a" targetNamespace="http://schemas.microsoft.com/office/2006/metadata/properties" ma:root="true" ma:fieldsID="bc604c804a76b73b22017f1fbce5ece3" ns1:_="" ns2:_="" ns3:_="">
    <xsd:import namespace="http://schemas.microsoft.com/sharepoint/v3"/>
    <xsd:import namespace="c890fddd-4e87-4e08-8b51-545f2a3f7b06"/>
    <xsd:import namespace="f29de0d1-023e-4363-82d3-bb472b30be6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1:_ip_UnifiedCompliancePolicyProperties" minOccurs="0"/>
                <xsd:element ref="ns1:_ip_UnifiedCompliancePolicyUIAction" minOccurs="0"/>
                <xsd:element ref="ns2:SharedWithUsers" minOccurs="0"/>
                <xsd:element ref="ns2:SharedWithDetails" minOccurs="0"/>
                <xsd:element ref="ns3:MediaServiceObjectDetectorVersions" minOccurs="0"/>
                <xsd:element ref="ns3:MediaServiceGenerationTime" minOccurs="0"/>
                <xsd:element ref="ns3:MediaServiceEventHashCode" minOccurs="0"/>
                <xsd:element ref="ns3:MediaLengthInSeconds"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90fddd-4e87-4e08-8b51-545f2a3f7b0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b1c665b-18a4-423b-8a87-b9a4f8bf8551}" ma:internalName="TaxCatchAll" ma:showField="CatchAllData" ma:web="c890fddd-4e87-4e08-8b51-545f2a3f7b0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29de0d1-023e-4363-82d3-bb472b30be6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6f9b2a8-1e3a-458e-92b7-62c6f6b9188e"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c890fddd-4e87-4e08-8b51-545f2a3f7b06" xsi:nil="true"/>
    <_ip_UnifiedCompliancePolicyProperties xmlns="http://schemas.microsoft.com/sharepoint/v3" xsi:nil="true"/>
    <lcf76f155ced4ddcb4097134ff3c332f xmlns="f29de0d1-023e-4363-82d3-bb472b30be6a">
      <Terms xmlns="http://schemas.microsoft.com/office/infopath/2007/PartnerControls"/>
    </lcf76f155ced4ddcb4097134ff3c332f>
    <_dlc_DocId xmlns="c890fddd-4e87-4e08-8b51-545f2a3f7b06">4SQX5P7U7WPY-958212181-789620</_dlc_DocId>
    <_dlc_DocIdUrl xmlns="c890fddd-4e87-4e08-8b51-545f2a3f7b06">
      <Url>https://senpr.sharepoint.com/sites/obralegislativa/_layouts/15/DocIdRedir.aspx?ID=4SQX5P7U7WPY-958212181-789620</Url>
      <Description>4SQX5P7U7WPY-958212181-789620</Description>
    </_dlc_DocIdUrl>
  </documentManagement>
</p:properties>
</file>

<file path=customXml/itemProps1.xml><?xml version="1.0" encoding="utf-8"?>
<ds:datastoreItem xmlns:ds="http://schemas.openxmlformats.org/officeDocument/2006/customXml" ds:itemID="{67F77E5C-C88D-475A-88E7-0C8AB1E780BF}">
  <ds:schemaRefs>
    <ds:schemaRef ds:uri="http://schemas.openxmlformats.org/officeDocument/2006/bibliography"/>
  </ds:schemaRefs>
</ds:datastoreItem>
</file>

<file path=customXml/itemProps2.xml><?xml version="1.0" encoding="utf-8"?>
<ds:datastoreItem xmlns:ds="http://schemas.openxmlformats.org/officeDocument/2006/customXml" ds:itemID="{AF2160D2-1632-4980-9FAB-7271C05F5695}"/>
</file>

<file path=customXml/itemProps3.xml><?xml version="1.0" encoding="utf-8"?>
<ds:datastoreItem xmlns:ds="http://schemas.openxmlformats.org/officeDocument/2006/customXml" ds:itemID="{547FA2AA-4A41-4A3E-B5B4-8C651839A9E9}"/>
</file>

<file path=customXml/itemProps4.xml><?xml version="1.0" encoding="utf-8"?>
<ds:datastoreItem xmlns:ds="http://schemas.openxmlformats.org/officeDocument/2006/customXml" ds:itemID="{ADB12C35-BA5E-4F4D-AC44-BBECE6AD934B}"/>
</file>

<file path=customXml/itemProps5.xml><?xml version="1.0" encoding="utf-8"?>
<ds:datastoreItem xmlns:ds="http://schemas.openxmlformats.org/officeDocument/2006/customXml" ds:itemID="{1752E403-3E12-4EB8-846A-505C00F35096}"/>
</file>

<file path=docProps/app.xml><?xml version="1.0" encoding="utf-8"?>
<Properties xmlns="http://schemas.openxmlformats.org/officeDocument/2006/extended-properties" xmlns:vt="http://schemas.openxmlformats.org/officeDocument/2006/docPropsVTypes">
  <Template>Normal</Template>
  <TotalTime>153</TotalTime>
  <Pages>15</Pages>
  <Words>5355</Words>
  <Characters>30527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Rojas Rojas (Com. de lo Juridico)</dc:creator>
  <cp:keywords/>
  <dc:description/>
  <cp:lastModifiedBy>Jerica R. Morales Hernandez (Trámites y Récords)</cp:lastModifiedBy>
  <cp:revision>93</cp:revision>
  <dcterms:created xsi:type="dcterms:W3CDTF">2023-11-02T19:51:00Z</dcterms:created>
  <dcterms:modified xsi:type="dcterms:W3CDTF">2024-02-14T20:20:00Z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0x0101008C58FC75B682744FB4A53C756BEDC3A3</vt:lpwstr>
  </property>
  <property fmtid="{D5CDD505-2E9C-101B-9397-08002B2CF9AE}" pid="3" name="_dlc_DocIdItemGuid">
    <vt:lpwstr>1a39aa59-37eb-423c-af67-8d670d20a557</vt:lpwstr>
  </property>
  <property fmtid="{D5CDD505-2E9C-101B-9397-08002B2CF9AE}" pid="4" name="MediaServiceImageTags">
    <vt:lpwstr/>
  </property>
</Properties>
</file>