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BCCBA" w14:textId="77777777" w:rsidR="0061508B" w:rsidRPr="0061508B" w:rsidRDefault="0061508B" w:rsidP="0061508B">
      <w:pPr>
        <w:suppressLineNumbers/>
        <w:spacing w:after="0" w:line="240" w:lineRule="auto"/>
        <w:jc w:val="center"/>
        <w:rPr>
          <w:rFonts w:ascii="Book Antiqua" w:eastAsia="MS Mincho" w:hAnsi="Book Antiqua" w:cs="Arial"/>
          <w:b/>
          <w:bCs/>
          <w:sz w:val="24"/>
          <w:szCs w:val="20"/>
          <w:lang w:val="es-ES"/>
        </w:rPr>
      </w:pPr>
      <w:r w:rsidRPr="0061508B">
        <w:rPr>
          <w:rFonts w:ascii="Book Antiqua" w:eastAsia="MS Mincho" w:hAnsi="Book Antiqua" w:cs="Arial"/>
          <w:b/>
          <w:bCs/>
          <w:sz w:val="24"/>
          <w:szCs w:val="20"/>
          <w:lang w:val="es-ES"/>
        </w:rPr>
        <w:t>(TEXTO DE APROBACION FINAL POR LA CAMARA)</w:t>
      </w:r>
      <w:r w:rsidRPr="0061508B">
        <w:rPr>
          <w:rFonts w:ascii="Book Antiqua" w:eastAsia="MS Mincho" w:hAnsi="Book Antiqua" w:cs="Arial"/>
          <w:b/>
          <w:bCs/>
          <w:sz w:val="24"/>
          <w:szCs w:val="20"/>
          <w:lang w:val="es-ES_tradnl"/>
        </w:rPr>
        <w:fldChar w:fldCharType="begin"/>
      </w:r>
      <w:r w:rsidRPr="0061508B">
        <w:rPr>
          <w:rFonts w:ascii="Book Antiqua" w:eastAsia="MS Mincho" w:hAnsi="Book Antiqua" w:cs="Arial"/>
          <w:b/>
          <w:bCs/>
          <w:sz w:val="24"/>
          <w:szCs w:val="20"/>
          <w:lang w:val="es-ES"/>
        </w:rPr>
        <w:instrText xml:space="preserve">PRIVATE </w:instrText>
      </w:r>
      <w:r w:rsidRPr="0061508B">
        <w:rPr>
          <w:rFonts w:ascii="Book Antiqua" w:eastAsia="MS Mincho" w:hAnsi="Book Antiqua" w:cs="Arial"/>
          <w:b/>
          <w:bCs/>
          <w:sz w:val="24"/>
          <w:szCs w:val="20"/>
          <w:lang w:val="es-ES_tradnl"/>
        </w:rPr>
        <w:fldChar w:fldCharType="end"/>
      </w:r>
    </w:p>
    <w:p w14:paraId="0DC9F5EE" w14:textId="77777777" w:rsidR="0061508B" w:rsidRPr="0061508B" w:rsidRDefault="0061508B" w:rsidP="0061508B">
      <w:pPr>
        <w:suppressLineNumbers/>
        <w:suppressAutoHyphens/>
        <w:spacing w:after="0" w:line="240" w:lineRule="auto"/>
        <w:jc w:val="center"/>
        <w:rPr>
          <w:rFonts w:ascii="Book Antiqua" w:eastAsia="SimSun" w:hAnsi="Book Antiqua" w:cs="Arial"/>
          <w:b/>
          <w:bCs/>
          <w:sz w:val="24"/>
          <w:szCs w:val="20"/>
          <w:lang w:val="es-ES"/>
        </w:rPr>
      </w:pPr>
      <w:r w:rsidRPr="0061508B">
        <w:rPr>
          <w:rFonts w:ascii="Book Antiqua" w:eastAsia="MS Mincho" w:hAnsi="Book Antiqua" w:cs="Arial"/>
          <w:b/>
          <w:bCs/>
          <w:sz w:val="24"/>
          <w:szCs w:val="20"/>
          <w:lang w:val="es-ES"/>
        </w:rPr>
        <w:t>(8 DE NOVIEMBRE DE 2023)</w:t>
      </w:r>
    </w:p>
    <w:p w14:paraId="17EC76B1" w14:textId="77777777" w:rsidR="0061508B" w:rsidRPr="0061508B" w:rsidRDefault="0061508B" w:rsidP="0061508B">
      <w:pPr>
        <w:suppressLineNumbers/>
        <w:spacing w:after="0" w:line="240" w:lineRule="auto"/>
        <w:rPr>
          <w:rFonts w:ascii="Book Antiqua" w:eastAsia="MS Mincho" w:hAnsi="Book Antiqua" w:cs="Times New Roman"/>
          <w:sz w:val="24"/>
          <w:szCs w:val="20"/>
          <w:lang w:val="es-ES_tradnl"/>
        </w:rPr>
      </w:pPr>
      <w:r w:rsidRPr="0061508B">
        <w:rPr>
          <w:rFonts w:ascii="Calibri" w:eastAsia="Calibri" w:hAnsi="Calibri" w:cs="Times New Roman"/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59225DC" wp14:editId="32C366A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22860"/>
                <wp:effectExtent l="0" t="0" r="0" b="0"/>
                <wp:wrapNone/>
                <wp:docPr id="199826177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BA259" id="Rectangle 1" o:spid="_x0000_s1026" style="position:absolute;margin-left:0;margin-top:0;width:468pt;height:1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" o:allowincell="f" fillcolor="black" stroked="f" strokeweight=".05pt">
                <w10:wrap anchorx="margin"/>
              </v:rect>
            </w:pict>
          </mc:Fallback>
        </mc:AlternateContent>
      </w:r>
    </w:p>
    <w:p w14:paraId="1CA5FCC3" w14:textId="47D886E3" w:rsidR="004B7857" w:rsidRPr="00323975" w:rsidRDefault="002E2460" w:rsidP="004B7857">
      <w:pPr>
        <w:suppressLineNumbers/>
        <w:tabs>
          <w:tab w:val="center" w:pos="4680"/>
        </w:tabs>
        <w:spacing w:after="0" w:line="480" w:lineRule="auto"/>
        <w:jc w:val="center"/>
        <w:rPr>
          <w:rFonts w:ascii="Book Antiqua" w:eastAsia="Times New Roman" w:hAnsi="Book Antiqua" w:cs="Times New Roman"/>
          <w:sz w:val="28"/>
          <w:szCs w:val="28"/>
          <w:lang w:val="es-PR"/>
        </w:rPr>
      </w:pPr>
      <w:r>
        <w:rPr>
          <w:rFonts w:ascii="Book Antiqua" w:eastAsia="Times New Roman" w:hAnsi="Book Antiqua" w:cs="Times New Roman"/>
          <w:sz w:val="28"/>
          <w:szCs w:val="28"/>
          <w:lang w:val="es-PR"/>
        </w:rPr>
        <w:t>ESTADO LIBRE ASOCIADO</w:t>
      </w:r>
      <w:r w:rsidR="004B7857" w:rsidRPr="00323975">
        <w:rPr>
          <w:rFonts w:ascii="Book Antiqua" w:eastAsia="Times New Roman" w:hAnsi="Book Antiqua" w:cs="Times New Roman"/>
          <w:sz w:val="28"/>
          <w:szCs w:val="28"/>
          <w:lang w:val="es-PR"/>
        </w:rPr>
        <w:t xml:space="preserve"> DE PUERTO RICO</w:t>
      </w:r>
    </w:p>
    <w:p w14:paraId="26DE8342" w14:textId="0081804C" w:rsidR="004B7857" w:rsidRPr="00323975" w:rsidRDefault="000A4AD2" w:rsidP="004B7857">
      <w:pPr>
        <w:suppressLineNumbers/>
        <w:tabs>
          <w:tab w:val="left" w:pos="7560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PR"/>
        </w:rPr>
      </w:pP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19na</w:t>
      </w:r>
      <w:r w:rsidR="004B7857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. Asamblea</w:t>
      </w:r>
      <w:r w:rsidR="004B7857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ab/>
        <w:t xml:space="preserve">     </w:t>
      </w:r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5</w:t>
      </w:r>
      <w:r w:rsidR="00750969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t</w:t>
      </w:r>
      <w:r w:rsidR="004B7857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a. Sesión </w:t>
      </w:r>
    </w:p>
    <w:p w14:paraId="415E3A37" w14:textId="77777777" w:rsidR="004B7857" w:rsidRPr="00323975" w:rsidRDefault="004B7857" w:rsidP="004B7857">
      <w:pPr>
        <w:suppressLineNumbers/>
        <w:tabs>
          <w:tab w:val="left" w:pos="8100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PR"/>
        </w:rPr>
      </w:pP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         Legislativa</w:t>
      </w: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ab/>
        <w:t xml:space="preserve">   Ordinaria</w:t>
      </w:r>
    </w:p>
    <w:p w14:paraId="56EC3582" w14:textId="77777777" w:rsidR="004B7857" w:rsidRPr="00323975" w:rsidRDefault="004B7857" w:rsidP="004B7857">
      <w:pPr>
        <w:suppressLineNumbers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PR"/>
        </w:rPr>
      </w:pP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      </w:t>
      </w:r>
    </w:p>
    <w:p w14:paraId="3ECD9AC9" w14:textId="77777777" w:rsidR="004B7857" w:rsidRPr="00323975" w:rsidRDefault="004B7857" w:rsidP="004B7857">
      <w:pPr>
        <w:suppressLineNumbers/>
        <w:spacing w:after="0" w:line="240" w:lineRule="auto"/>
        <w:jc w:val="center"/>
        <w:rPr>
          <w:rFonts w:ascii="Book Antiqua" w:eastAsia="Calibri" w:hAnsi="Book Antiqua" w:cs="Times New Roman"/>
          <w:b/>
          <w:sz w:val="36"/>
          <w:szCs w:val="36"/>
          <w:lang w:val="es-PR"/>
        </w:rPr>
      </w:pPr>
      <w:r w:rsidRPr="00323975">
        <w:rPr>
          <w:rFonts w:ascii="Book Antiqua" w:eastAsia="Calibri" w:hAnsi="Book Antiqua" w:cs="Times New Roman"/>
          <w:b/>
          <w:sz w:val="36"/>
          <w:szCs w:val="36"/>
          <w:lang w:val="es-PR"/>
        </w:rPr>
        <w:t>CÁMARA DE REPRESENTANTES</w:t>
      </w:r>
    </w:p>
    <w:p w14:paraId="70B7F3B3" w14:textId="77777777" w:rsidR="004B7857" w:rsidRPr="00323975" w:rsidRDefault="004B7857" w:rsidP="004B7857">
      <w:pPr>
        <w:suppressLineNumbers/>
        <w:spacing w:after="0" w:line="240" w:lineRule="auto"/>
        <w:jc w:val="center"/>
        <w:rPr>
          <w:rFonts w:ascii="Book Antiqua" w:eastAsia="Calibri" w:hAnsi="Book Antiqua" w:cs="Times New Roman"/>
          <w:sz w:val="24"/>
          <w:szCs w:val="24"/>
          <w:lang w:val="es-PR"/>
        </w:rPr>
      </w:pPr>
    </w:p>
    <w:p w14:paraId="5C0CFC55" w14:textId="35503FE2" w:rsidR="004B7857" w:rsidRPr="00323975" w:rsidRDefault="004267CE" w:rsidP="004B7857">
      <w:pPr>
        <w:suppressLineNumbers/>
        <w:spacing w:after="0" w:line="240" w:lineRule="auto"/>
        <w:jc w:val="center"/>
        <w:rPr>
          <w:rFonts w:ascii="Book Antiqua" w:eastAsia="Calibri" w:hAnsi="Book Antiqua" w:cs="Times New Roman"/>
          <w:b/>
          <w:sz w:val="52"/>
          <w:szCs w:val="52"/>
          <w:lang w:val="es-PR"/>
        </w:rPr>
      </w:pPr>
      <w:r w:rsidRPr="00323975">
        <w:rPr>
          <w:rFonts w:ascii="Book Antiqua" w:eastAsia="Calibri" w:hAnsi="Book Antiqua" w:cs="Times New Roman"/>
          <w:b/>
          <w:sz w:val="52"/>
          <w:szCs w:val="52"/>
          <w:lang w:val="es-PR"/>
        </w:rPr>
        <w:t>R</w:t>
      </w:r>
      <w:r w:rsidR="004B7857" w:rsidRPr="00323975">
        <w:rPr>
          <w:rFonts w:ascii="Book Antiqua" w:eastAsia="Calibri" w:hAnsi="Book Antiqua" w:cs="Times New Roman"/>
          <w:b/>
          <w:sz w:val="52"/>
          <w:szCs w:val="52"/>
          <w:lang w:val="es-PR"/>
        </w:rPr>
        <w:t xml:space="preserve">. </w:t>
      </w:r>
      <w:r w:rsidR="00DF4D20" w:rsidRPr="00323975">
        <w:rPr>
          <w:rFonts w:ascii="Book Antiqua" w:eastAsia="Calibri" w:hAnsi="Book Antiqua" w:cs="Times New Roman"/>
          <w:b/>
          <w:sz w:val="52"/>
          <w:szCs w:val="52"/>
          <w:lang w:val="es-PR"/>
        </w:rPr>
        <w:t>C</w:t>
      </w:r>
      <w:r w:rsidR="004B7857" w:rsidRPr="00323975">
        <w:rPr>
          <w:rFonts w:ascii="Book Antiqua" w:eastAsia="Calibri" w:hAnsi="Book Antiqua" w:cs="Times New Roman"/>
          <w:b/>
          <w:sz w:val="52"/>
          <w:szCs w:val="52"/>
          <w:lang w:val="es-PR"/>
        </w:rPr>
        <w:t>.</w:t>
      </w:r>
      <w:r w:rsidR="00DF4D20" w:rsidRPr="00323975">
        <w:rPr>
          <w:rFonts w:ascii="Book Antiqua" w:eastAsia="Calibri" w:hAnsi="Book Antiqua" w:cs="Times New Roman"/>
          <w:b/>
          <w:sz w:val="52"/>
          <w:szCs w:val="52"/>
          <w:lang w:val="es-PR"/>
        </w:rPr>
        <w:t xml:space="preserve"> de la C.</w:t>
      </w:r>
      <w:r w:rsidR="004B7857" w:rsidRPr="00323975">
        <w:rPr>
          <w:rFonts w:ascii="Book Antiqua" w:eastAsia="Calibri" w:hAnsi="Book Antiqua" w:cs="Times New Roman"/>
          <w:b/>
          <w:sz w:val="52"/>
          <w:szCs w:val="52"/>
          <w:lang w:val="es-PR"/>
        </w:rPr>
        <w:t xml:space="preserve"> </w:t>
      </w:r>
      <w:r w:rsidR="00041986">
        <w:rPr>
          <w:rFonts w:ascii="Book Antiqua" w:eastAsia="Calibri" w:hAnsi="Book Antiqua" w:cs="Times New Roman"/>
          <w:b/>
          <w:sz w:val="52"/>
          <w:szCs w:val="52"/>
          <w:lang w:val="es-PR"/>
        </w:rPr>
        <w:t>443</w:t>
      </w:r>
    </w:p>
    <w:p w14:paraId="79392EB4" w14:textId="77777777" w:rsidR="004B7857" w:rsidRPr="00323975" w:rsidRDefault="004B7857" w:rsidP="004B7857">
      <w:pPr>
        <w:suppressLineNumbers/>
        <w:spacing w:after="0" w:line="240" w:lineRule="auto"/>
        <w:jc w:val="center"/>
        <w:rPr>
          <w:rFonts w:ascii="Book Antiqua" w:eastAsia="Calibri" w:hAnsi="Book Antiqua" w:cs="Times New Roman"/>
          <w:sz w:val="24"/>
          <w:szCs w:val="24"/>
          <w:lang w:val="es-PR"/>
        </w:rPr>
      </w:pPr>
    </w:p>
    <w:p w14:paraId="21C1A9D3" w14:textId="020F2CCF" w:rsidR="004B7857" w:rsidRPr="00323975" w:rsidRDefault="00121739" w:rsidP="004B7857">
      <w:pPr>
        <w:suppressLineNumbers/>
        <w:spacing w:after="0" w:line="240" w:lineRule="auto"/>
        <w:jc w:val="center"/>
        <w:rPr>
          <w:rFonts w:ascii="Book Antiqua" w:eastAsia="Calibri" w:hAnsi="Book Antiqua" w:cs="Times New Roman"/>
          <w:sz w:val="24"/>
          <w:szCs w:val="24"/>
          <w:lang w:val="es-PR"/>
        </w:rPr>
      </w:pPr>
      <w:r w:rsidRPr="00323975">
        <w:rPr>
          <w:rFonts w:ascii="Book Antiqua" w:eastAsia="Calibri" w:hAnsi="Book Antiqua" w:cs="Times New Roman"/>
          <w:sz w:val="24"/>
          <w:szCs w:val="24"/>
          <w:lang w:val="es-PR"/>
        </w:rPr>
        <w:t xml:space="preserve"> </w:t>
      </w:r>
      <w:r w:rsidR="00041986">
        <w:rPr>
          <w:rFonts w:ascii="Book Antiqua" w:eastAsia="Calibri" w:hAnsi="Book Antiqua" w:cs="Times New Roman"/>
          <w:sz w:val="24"/>
          <w:szCs w:val="24"/>
          <w:lang w:val="es-PR"/>
        </w:rPr>
        <w:t xml:space="preserve">6 </w:t>
      </w:r>
      <w:r w:rsidRPr="00323975">
        <w:rPr>
          <w:rFonts w:ascii="Book Antiqua" w:eastAsia="Calibri" w:hAnsi="Book Antiqua" w:cs="Times New Roman"/>
          <w:sz w:val="24"/>
          <w:szCs w:val="24"/>
          <w:lang w:val="es-PR"/>
        </w:rPr>
        <w:t>DE ENERO DE 202</w:t>
      </w:r>
      <w:r w:rsidR="009F165D" w:rsidRPr="00323975">
        <w:rPr>
          <w:rFonts w:ascii="Book Antiqua" w:eastAsia="Calibri" w:hAnsi="Book Antiqua" w:cs="Times New Roman"/>
          <w:sz w:val="24"/>
          <w:szCs w:val="24"/>
          <w:lang w:val="es-PR"/>
        </w:rPr>
        <w:t>3</w:t>
      </w:r>
    </w:p>
    <w:p w14:paraId="1D9CD600" w14:textId="77777777" w:rsidR="004B7857" w:rsidRPr="00323975" w:rsidRDefault="004B7857" w:rsidP="004B7857">
      <w:pPr>
        <w:suppressLineNumbers/>
        <w:spacing w:after="0" w:line="240" w:lineRule="auto"/>
        <w:jc w:val="center"/>
        <w:rPr>
          <w:rFonts w:ascii="Book Antiqua" w:eastAsia="Calibri" w:hAnsi="Book Antiqua" w:cs="Times New Roman"/>
          <w:i/>
          <w:sz w:val="24"/>
          <w:szCs w:val="24"/>
          <w:lang w:val="es-PR"/>
        </w:rPr>
      </w:pPr>
    </w:p>
    <w:p w14:paraId="1864EADE" w14:textId="1581EA32" w:rsidR="00750969" w:rsidRDefault="00121739" w:rsidP="00750969">
      <w:pPr>
        <w:suppressLineNumbers/>
        <w:spacing w:after="0" w:line="240" w:lineRule="auto"/>
        <w:ind w:left="720" w:hanging="720"/>
        <w:jc w:val="center"/>
        <w:rPr>
          <w:rFonts w:ascii="Book Antiqua" w:hAnsi="Book Antiqua"/>
          <w:i/>
          <w:sz w:val="24"/>
          <w:szCs w:val="24"/>
          <w:lang w:val="es-PR"/>
        </w:rPr>
      </w:pPr>
      <w:r w:rsidRPr="002E2460">
        <w:rPr>
          <w:rFonts w:ascii="Book Antiqua" w:hAnsi="Book Antiqua" w:cs="Times New Roman"/>
          <w:sz w:val="24"/>
          <w:szCs w:val="24"/>
          <w:lang w:val="es-PR"/>
        </w:rPr>
        <w:t xml:space="preserve">Presentada por </w:t>
      </w:r>
      <w:r w:rsidR="00750969" w:rsidRPr="002E2460">
        <w:rPr>
          <w:rFonts w:ascii="Book Antiqua" w:hAnsi="Book Antiqua"/>
          <w:sz w:val="24"/>
          <w:szCs w:val="24"/>
          <w:lang w:val="es-PR"/>
        </w:rPr>
        <w:t>los representantes</w:t>
      </w:r>
      <w:r w:rsidR="009F165D" w:rsidRPr="002E2460">
        <w:rPr>
          <w:rFonts w:ascii="Book Antiqua" w:hAnsi="Book Antiqua"/>
          <w:sz w:val="24"/>
          <w:szCs w:val="24"/>
          <w:lang w:val="es-PR"/>
        </w:rPr>
        <w:t xml:space="preserve"> </w:t>
      </w:r>
      <w:r w:rsidR="009F165D" w:rsidRPr="002E2460">
        <w:rPr>
          <w:rFonts w:ascii="Book Antiqua" w:hAnsi="Book Antiqua"/>
          <w:i/>
          <w:sz w:val="24"/>
          <w:szCs w:val="24"/>
          <w:lang w:val="es-PR"/>
        </w:rPr>
        <w:t xml:space="preserve">Hernández Concepción </w:t>
      </w:r>
      <w:r w:rsidR="009F165D" w:rsidRPr="003202C8">
        <w:rPr>
          <w:rFonts w:ascii="Book Antiqua" w:hAnsi="Book Antiqua"/>
          <w:iCs/>
          <w:sz w:val="24"/>
          <w:szCs w:val="24"/>
          <w:lang w:val="es-PR"/>
        </w:rPr>
        <w:t>y</w:t>
      </w:r>
      <w:r w:rsidR="009F165D" w:rsidRPr="002E2460">
        <w:rPr>
          <w:rFonts w:ascii="Book Antiqua" w:hAnsi="Book Antiqua"/>
          <w:i/>
          <w:sz w:val="24"/>
          <w:szCs w:val="24"/>
          <w:lang w:val="es-PR"/>
        </w:rPr>
        <w:t xml:space="preserve"> Charbonier Chinea</w:t>
      </w:r>
    </w:p>
    <w:p w14:paraId="244CF1DE" w14:textId="3011022F" w:rsidR="003202C8" w:rsidRPr="003202C8" w:rsidRDefault="003202C8" w:rsidP="00750969">
      <w:pPr>
        <w:suppressLineNumbers/>
        <w:spacing w:after="0" w:line="240" w:lineRule="auto"/>
        <w:ind w:left="720" w:hanging="720"/>
        <w:jc w:val="center"/>
        <w:rPr>
          <w:rFonts w:ascii="Book Antiqua" w:hAnsi="Book Antiqua" w:cs="Times New Roman"/>
          <w:iCs/>
          <w:sz w:val="24"/>
          <w:szCs w:val="24"/>
          <w:lang w:val="es-PR"/>
        </w:rPr>
      </w:pPr>
      <w:r>
        <w:rPr>
          <w:rFonts w:ascii="Book Antiqua" w:hAnsi="Book Antiqua"/>
          <w:iCs/>
          <w:sz w:val="24"/>
          <w:szCs w:val="24"/>
          <w:lang w:val="es-PR"/>
        </w:rPr>
        <w:t xml:space="preserve">y suscrito por los representantes </w:t>
      </w:r>
      <w:r w:rsidRPr="003202C8">
        <w:rPr>
          <w:rFonts w:ascii="Book Antiqua" w:hAnsi="Book Antiqua"/>
          <w:i/>
          <w:sz w:val="24"/>
          <w:szCs w:val="24"/>
          <w:lang w:val="es-PR"/>
        </w:rPr>
        <w:t>Ortiz Lugo</w:t>
      </w:r>
      <w:r>
        <w:rPr>
          <w:rFonts w:ascii="Book Antiqua" w:hAnsi="Book Antiqua"/>
          <w:iCs/>
          <w:sz w:val="24"/>
          <w:szCs w:val="24"/>
          <w:lang w:val="es-PR"/>
        </w:rPr>
        <w:t xml:space="preserve">, </w:t>
      </w:r>
      <w:r w:rsidRPr="003202C8">
        <w:rPr>
          <w:rFonts w:ascii="Book Antiqua" w:hAnsi="Book Antiqua"/>
          <w:i/>
          <w:sz w:val="24"/>
          <w:szCs w:val="24"/>
          <w:lang w:val="es-PR"/>
        </w:rPr>
        <w:t>Márquez Lebrón</w:t>
      </w:r>
      <w:r>
        <w:rPr>
          <w:rFonts w:ascii="Book Antiqua" w:hAnsi="Book Antiqua"/>
          <w:iCs/>
          <w:sz w:val="24"/>
          <w:szCs w:val="24"/>
          <w:lang w:val="es-PR"/>
        </w:rPr>
        <w:t xml:space="preserve">, la representante </w:t>
      </w:r>
      <w:r w:rsidRPr="003202C8">
        <w:rPr>
          <w:rFonts w:ascii="Book Antiqua" w:hAnsi="Book Antiqua"/>
          <w:i/>
          <w:sz w:val="24"/>
          <w:szCs w:val="24"/>
          <w:lang w:val="es-PR"/>
        </w:rPr>
        <w:t>Burgos Muñiz</w:t>
      </w:r>
      <w:r>
        <w:rPr>
          <w:rFonts w:ascii="Book Antiqua" w:hAnsi="Book Antiqua"/>
          <w:iCs/>
          <w:sz w:val="24"/>
          <w:szCs w:val="24"/>
          <w:lang w:val="es-PR"/>
        </w:rPr>
        <w:t xml:space="preserve"> y el representante </w:t>
      </w:r>
      <w:r w:rsidRPr="003202C8">
        <w:rPr>
          <w:rFonts w:ascii="Book Antiqua" w:hAnsi="Book Antiqua"/>
          <w:i/>
          <w:sz w:val="24"/>
          <w:szCs w:val="24"/>
          <w:lang w:val="es-PR"/>
        </w:rPr>
        <w:t>Márquez Reyes</w:t>
      </w:r>
    </w:p>
    <w:p w14:paraId="7B870D33" w14:textId="77777777" w:rsidR="00750969" w:rsidRPr="00323975" w:rsidRDefault="00750969" w:rsidP="00750969">
      <w:pPr>
        <w:suppressLineNumbers/>
        <w:spacing w:after="0" w:line="240" w:lineRule="auto"/>
        <w:ind w:left="720" w:hanging="720"/>
        <w:jc w:val="both"/>
        <w:rPr>
          <w:rFonts w:ascii="Book Antiqua" w:hAnsi="Book Antiqua" w:cs="Times New Roman"/>
          <w:sz w:val="24"/>
          <w:szCs w:val="24"/>
          <w:lang w:val="es-PR"/>
        </w:rPr>
      </w:pPr>
    </w:p>
    <w:p w14:paraId="3259919E" w14:textId="2F3D41BA" w:rsidR="009F165D" w:rsidRPr="00323975" w:rsidRDefault="009F165D" w:rsidP="00750969">
      <w:pPr>
        <w:suppressLineNumbers/>
        <w:spacing w:after="0" w:line="240" w:lineRule="auto"/>
        <w:ind w:left="720" w:hanging="720"/>
        <w:jc w:val="center"/>
        <w:rPr>
          <w:rFonts w:ascii="Book Antiqua" w:hAnsi="Book Antiqua" w:cs="Times New Roman"/>
          <w:sz w:val="24"/>
          <w:szCs w:val="24"/>
          <w:lang w:val="es-PR"/>
        </w:rPr>
      </w:pPr>
      <w:r w:rsidRPr="00323975">
        <w:rPr>
          <w:rFonts w:ascii="Book Antiqua" w:hAnsi="Book Antiqua"/>
          <w:lang w:val="es-PR"/>
        </w:rPr>
        <w:t>Referida a</w:t>
      </w:r>
      <w:r w:rsidR="002E2460">
        <w:rPr>
          <w:rFonts w:ascii="Book Antiqua" w:hAnsi="Book Antiqua"/>
          <w:lang w:val="es-PR"/>
        </w:rPr>
        <w:t xml:space="preserve"> la Comisión Para el Desarrollo y la Fiscalización de Fondos Públicos de la Ciudad Capital, Aguas Buenas, Bayamón, Cataño y Guaynabo</w:t>
      </w:r>
    </w:p>
    <w:p w14:paraId="126EB3AB" w14:textId="77777777" w:rsidR="004B7857" w:rsidRPr="00323975" w:rsidRDefault="004B7857" w:rsidP="004B7857">
      <w:pPr>
        <w:suppressLineNumbers/>
        <w:spacing w:after="0" w:line="240" w:lineRule="auto"/>
        <w:jc w:val="center"/>
        <w:rPr>
          <w:rFonts w:ascii="Book Antiqua" w:eastAsia="Calibri" w:hAnsi="Book Antiqua" w:cs="Times New Roman"/>
          <w:sz w:val="24"/>
          <w:szCs w:val="24"/>
          <w:lang w:val="es-PR"/>
        </w:rPr>
      </w:pPr>
    </w:p>
    <w:p w14:paraId="3BEF6802" w14:textId="7CAFADB1" w:rsidR="004B7857" w:rsidRPr="00323975" w:rsidRDefault="00E236EB" w:rsidP="004B7857">
      <w:pPr>
        <w:suppressLineNumbers/>
        <w:spacing w:after="0" w:line="240" w:lineRule="auto"/>
        <w:jc w:val="center"/>
        <w:rPr>
          <w:rFonts w:ascii="Book Antiqua" w:eastAsia="Calibri" w:hAnsi="Book Antiqua" w:cs="Times New Roman"/>
          <w:b/>
          <w:sz w:val="28"/>
          <w:szCs w:val="24"/>
          <w:lang w:val="es-PR"/>
        </w:rPr>
      </w:pPr>
      <w:r w:rsidRPr="00323975">
        <w:rPr>
          <w:rFonts w:ascii="Book Antiqua" w:eastAsia="Calibri" w:hAnsi="Book Antiqua" w:cs="Times New Roman"/>
          <w:b/>
          <w:sz w:val="28"/>
          <w:szCs w:val="24"/>
          <w:lang w:val="es-PR"/>
        </w:rPr>
        <w:t>RESOLUCIÓ</w:t>
      </w:r>
      <w:r w:rsidR="00892D4F" w:rsidRPr="00323975">
        <w:rPr>
          <w:rFonts w:ascii="Book Antiqua" w:eastAsia="Calibri" w:hAnsi="Book Antiqua" w:cs="Times New Roman"/>
          <w:b/>
          <w:sz w:val="28"/>
          <w:szCs w:val="24"/>
          <w:lang w:val="es-PR"/>
        </w:rPr>
        <w:t xml:space="preserve">N </w:t>
      </w:r>
      <w:r w:rsidR="00DF4D20" w:rsidRPr="00323975">
        <w:rPr>
          <w:rFonts w:ascii="Book Antiqua" w:eastAsia="Calibri" w:hAnsi="Book Antiqua" w:cs="Times New Roman"/>
          <w:b/>
          <w:sz w:val="28"/>
          <w:szCs w:val="24"/>
          <w:lang w:val="es-PR"/>
        </w:rPr>
        <w:t>CONJUNTA</w:t>
      </w:r>
    </w:p>
    <w:p w14:paraId="6A75FA1A" w14:textId="77777777" w:rsidR="004B7857" w:rsidRPr="00323975" w:rsidRDefault="004B7857" w:rsidP="004B7857">
      <w:pPr>
        <w:suppressLineNumbers/>
        <w:spacing w:after="0" w:line="240" w:lineRule="auto"/>
        <w:jc w:val="center"/>
        <w:rPr>
          <w:rFonts w:ascii="Book Antiqua" w:eastAsia="Calibri" w:hAnsi="Book Antiqua" w:cs="Times New Roman"/>
          <w:b/>
          <w:sz w:val="24"/>
          <w:szCs w:val="24"/>
          <w:lang w:val="es-PR"/>
        </w:rPr>
      </w:pPr>
    </w:p>
    <w:p w14:paraId="76620043" w14:textId="2C857B20" w:rsidR="009F165D" w:rsidRPr="00323975" w:rsidRDefault="009F165D" w:rsidP="00844560">
      <w:pPr>
        <w:suppressLineNumbers/>
        <w:spacing w:after="0" w:line="240" w:lineRule="auto"/>
        <w:ind w:left="600" w:hanging="600"/>
        <w:jc w:val="both"/>
        <w:rPr>
          <w:rFonts w:ascii="Book Antiqua" w:eastAsia="Times New Roman" w:hAnsi="Book Antiqua" w:cs="Times New Roman"/>
          <w:sz w:val="24"/>
          <w:szCs w:val="24"/>
          <w:lang w:val="es-PR"/>
        </w:rPr>
      </w:pP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Para designar la calle Diez De Andino en</w:t>
      </w:r>
      <w:r w:rsidR="00724641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la jurisdicción del Municipio de</w:t>
      </w: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San Juan 00911, </w:t>
      </w:r>
      <w:r w:rsidR="00724641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con el nombre de</w:t>
      </w: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</w:t>
      </w:r>
      <w:r w:rsidR="00724641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“</w:t>
      </w: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Tito Matos</w:t>
      </w:r>
      <w:r w:rsidR="00724641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” en homenaje </w:t>
      </w:r>
      <w:r w:rsidR="00345878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a su</w:t>
      </w:r>
      <w:r w:rsidR="00724641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indeleble legado social, musical y cultural, en reconocimiento a su vasta aportación a la plena </w:t>
      </w:r>
      <w:r w:rsidR="00345878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en el mundo y en</w:t>
      </w:r>
      <w:r w:rsidR="00724641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todo Puerto Rico</w:t>
      </w:r>
      <w:r w:rsidR="00345878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; y para otros fines relacionados.</w:t>
      </w:r>
    </w:p>
    <w:p w14:paraId="27189CE3" w14:textId="77777777" w:rsidR="004B7857" w:rsidRPr="00323975" w:rsidRDefault="004B7857" w:rsidP="00063DD7">
      <w:pPr>
        <w:suppressLineNumbers/>
        <w:spacing w:after="0" w:line="240" w:lineRule="auto"/>
        <w:ind w:left="600" w:hanging="600"/>
        <w:jc w:val="both"/>
        <w:rPr>
          <w:rFonts w:ascii="Book Antiqua" w:eastAsia="Times New Roman" w:hAnsi="Book Antiqua" w:cs="Times New Roman"/>
          <w:lang w:val="es-PR"/>
        </w:rPr>
      </w:pPr>
    </w:p>
    <w:p w14:paraId="76476BA8" w14:textId="77777777" w:rsidR="004B7857" w:rsidRPr="00323975" w:rsidRDefault="004B7857" w:rsidP="00063DD7">
      <w:pPr>
        <w:suppressLineNumbers/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val="es-PR"/>
        </w:rPr>
      </w:pP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EXPOSICIÓN DE MOTIVOS</w:t>
      </w:r>
    </w:p>
    <w:p w14:paraId="2CF9F8E7" w14:textId="3A84F07B" w:rsidR="004B7857" w:rsidRPr="00323975" w:rsidRDefault="00AA52FB" w:rsidP="00AA52FB">
      <w:pPr>
        <w:suppressLineNumbers/>
        <w:tabs>
          <w:tab w:val="left" w:pos="344"/>
        </w:tabs>
        <w:spacing w:after="0" w:line="240" w:lineRule="auto"/>
        <w:rPr>
          <w:rFonts w:ascii="Book Antiqua" w:eastAsia="Times New Roman" w:hAnsi="Book Antiqua" w:cs="Times New Roman"/>
          <w:lang w:val="es-PR"/>
        </w:rPr>
      </w:pPr>
      <w:r w:rsidRPr="00323975">
        <w:rPr>
          <w:rFonts w:ascii="Book Antiqua" w:eastAsia="Times New Roman" w:hAnsi="Book Antiqua" w:cs="Times New Roman"/>
          <w:lang w:val="es-PR"/>
        </w:rPr>
        <w:tab/>
      </w:r>
    </w:p>
    <w:p w14:paraId="2607DAA5" w14:textId="06AF6B06" w:rsidR="009F165D" w:rsidRPr="00323975" w:rsidRDefault="00AA52FB" w:rsidP="00D50465">
      <w:pPr>
        <w:suppressLineNumbers/>
        <w:tabs>
          <w:tab w:val="left" w:pos="344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s-PR"/>
        </w:rPr>
      </w:pP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ab/>
      </w:r>
      <w:r w:rsidR="00A83F36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ab/>
      </w:r>
      <w:bookmarkStart w:id="0" w:name="_Hlk125659629"/>
      <w:r w:rsidR="00345878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Héctor Ren</w:t>
      </w:r>
      <w:r w:rsidR="005E358C">
        <w:rPr>
          <w:rFonts w:ascii="Book Antiqua" w:eastAsia="Times New Roman" w:hAnsi="Book Antiqua" w:cs="Times New Roman"/>
          <w:sz w:val="24"/>
          <w:szCs w:val="24"/>
          <w:lang w:val="es-PR"/>
        </w:rPr>
        <w:t>é</w:t>
      </w:r>
      <w:r w:rsidR="00345878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“</w:t>
      </w:r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Tito</w:t>
      </w:r>
      <w:r w:rsidR="00345878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”</w:t>
      </w:r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Matos</w:t>
      </w:r>
      <w:r w:rsidR="00345878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Otero</w:t>
      </w:r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nació en Santurce el 15 de junio de 1968</w:t>
      </w:r>
      <w:r w:rsidR="00345878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, hijo de </w:t>
      </w:r>
      <w:r w:rsid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Héctor </w:t>
      </w:r>
      <w:r w:rsidR="00345878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Matos e Hilda Otero, esposo de Mariana Reyes Angle</w:t>
      </w:r>
      <w:r w:rsidR="00697CAC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r</w:t>
      </w:r>
      <w:r w:rsidR="00323975">
        <w:rPr>
          <w:rFonts w:ascii="Book Antiqua" w:eastAsia="Times New Roman" w:hAnsi="Book Antiqua" w:cs="Times New Roman"/>
          <w:sz w:val="24"/>
          <w:szCs w:val="24"/>
          <w:lang w:val="es-PR"/>
        </w:rPr>
        <w:t>ó</w:t>
      </w:r>
      <w:r w:rsidR="00697CAC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y padre </w:t>
      </w:r>
      <w:r w:rsid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de </w:t>
      </w:r>
      <w:r w:rsidR="00697CAC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Celiana, Héctor y Marcelo. </w:t>
      </w:r>
      <w:r w:rsidR="00844560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Comen</w:t>
      </w:r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zó a tocar plena a los ocho años cuando los </w:t>
      </w:r>
      <w:r w:rsidR="00844560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R</w:t>
      </w:r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eyes </w:t>
      </w:r>
      <w:r w:rsidR="00844560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M</w:t>
      </w:r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agos le dejaron una pandereta en</w:t>
      </w:r>
      <w:r w:rsidR="003970DC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la</w:t>
      </w:r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casa de su abuelo Felino en la calle Diez de Andino en Villa Palmeras.  Fue en la Diez de Andino</w:t>
      </w:r>
      <w:r w:rsidR="003970DC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,</w:t>
      </w:r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</w:t>
      </w:r>
      <w:r w:rsidR="00844560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el </w:t>
      </w:r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lugar donde pasaba todas sus tardes antes de ir a su casa.</w:t>
      </w:r>
    </w:p>
    <w:p w14:paraId="4314C402" w14:textId="77777777" w:rsidR="00D50465" w:rsidRPr="00323975" w:rsidRDefault="00D50465" w:rsidP="00D50465">
      <w:pPr>
        <w:suppressLineNumbers/>
        <w:tabs>
          <w:tab w:val="left" w:pos="344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s-PR"/>
        </w:rPr>
      </w:pPr>
    </w:p>
    <w:p w14:paraId="165BAEEE" w14:textId="0E3A9ECF" w:rsidR="009F165D" w:rsidRPr="00323975" w:rsidRDefault="009F165D" w:rsidP="00D50465">
      <w:pPr>
        <w:suppressLineNumbers/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4"/>
          <w:szCs w:val="24"/>
          <w:lang w:val="es-PR"/>
        </w:rPr>
      </w:pP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Tito tocaba todas las panderetas, los barriles de bomba y las congas. Se destacaba en el requinto, pandero que improvisa en el género de la plena. Su velocidad y cadencia crearon un sonido distintivo que cambió la manera en que se toca la plena.</w:t>
      </w:r>
    </w:p>
    <w:p w14:paraId="79EB147B" w14:textId="77777777" w:rsidR="00D50465" w:rsidRPr="00323975" w:rsidRDefault="00D50465" w:rsidP="00D50465">
      <w:pPr>
        <w:suppressLineNumbers/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4"/>
          <w:szCs w:val="24"/>
          <w:lang w:val="es-PR"/>
        </w:rPr>
      </w:pPr>
    </w:p>
    <w:p w14:paraId="690C4943" w14:textId="77777777" w:rsidR="003970DC" w:rsidRPr="00323975" w:rsidRDefault="009F165D" w:rsidP="00844560">
      <w:pPr>
        <w:suppressLineNumbers/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4"/>
          <w:szCs w:val="24"/>
          <w:lang w:val="es-PR"/>
        </w:rPr>
      </w:pP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lastRenderedPageBreak/>
        <w:t>Participó en múltiples grupos pleneros desde la década del 1980 incluyendo</w:t>
      </w:r>
      <w:r w:rsidR="00844560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,</w:t>
      </w: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Los Sapos del Caño, Los Pleneros del Almendro y Los Pleneros del Pueblo, este último siendo de vital importancia en el desarrollo de la plena contemporánea. Es también miembro vitalicio de Los Pleneros de la 21 y Los Pleneros de la 23 Abajo. </w:t>
      </w:r>
    </w:p>
    <w:p w14:paraId="5F02B623" w14:textId="77777777" w:rsidR="003970DC" w:rsidRPr="00323975" w:rsidRDefault="003970DC" w:rsidP="00844560">
      <w:pPr>
        <w:suppressLineNumbers/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4"/>
          <w:szCs w:val="24"/>
          <w:lang w:val="es-PR"/>
        </w:rPr>
      </w:pPr>
    </w:p>
    <w:p w14:paraId="4533A76F" w14:textId="0A22BC7A" w:rsidR="009F165D" w:rsidRPr="00323975" w:rsidRDefault="003D7F48" w:rsidP="003D7F48">
      <w:pPr>
        <w:suppressLineNumbers/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4"/>
          <w:szCs w:val="24"/>
          <w:lang w:val="es-PR"/>
        </w:rPr>
      </w:pP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Vivió en Nueva York desde el 1994 hasta diciembre del 2003. </w:t>
      </w:r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En 1997</w:t>
      </w:r>
      <w:r w:rsidR="003970DC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</w:t>
      </w:r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junto a Ricardo Pons y Alberto Toro</w:t>
      </w:r>
      <w:r w:rsidR="00844560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,</w:t>
      </w:r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</w:t>
      </w:r>
      <w:r w:rsidR="003970DC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crea </w:t>
      </w:r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Viento de Agua</w:t>
      </w:r>
      <w:r w:rsidR="003970DC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, u</w:t>
      </w:r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na banda de sonido innovador </w:t>
      </w: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la cual</w:t>
      </w:r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graba cinco discos, incluyendo Opus IV, nominado al Grammy Latino. </w:t>
      </w:r>
      <w:r w:rsidR="00BE0AFC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Completa</w:t>
      </w:r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un bachillerato en </w:t>
      </w:r>
      <w:r w:rsidR="00BE0AFC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A</w:t>
      </w:r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rquitectura </w:t>
      </w:r>
      <w:r w:rsidR="00BE0AFC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P</w:t>
      </w:r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aisajista de City College of New York. </w:t>
      </w:r>
    </w:p>
    <w:p w14:paraId="0BE60FE8" w14:textId="77777777" w:rsidR="00844560" w:rsidRPr="00323975" w:rsidRDefault="00844560" w:rsidP="00D50465">
      <w:pPr>
        <w:suppressLineNumbers/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4"/>
          <w:szCs w:val="24"/>
          <w:lang w:val="es-PR"/>
        </w:rPr>
      </w:pPr>
    </w:p>
    <w:p w14:paraId="065814EB" w14:textId="5D849182" w:rsidR="00750969" w:rsidRPr="00323975" w:rsidRDefault="00BE0AFC" w:rsidP="00D50465">
      <w:pPr>
        <w:suppressLineNumbers/>
        <w:spacing w:after="0" w:line="240" w:lineRule="auto"/>
        <w:ind w:firstLine="720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s-PR"/>
        </w:rPr>
      </w:pP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Grabó y participó</w:t>
      </w:r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como invitado</w:t>
      </w: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de</w:t>
      </w:r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Miguel Zenón, David Sánchez, William Cepeda, Eddie Palmieri y Ricky Martin</w:t>
      </w:r>
      <w:r w:rsidR="00844560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,</w:t>
      </w:r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entre otros. Incursiona en diversos géneros incluyendo el jazz y el pop. Desarrolla</w:t>
      </w: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</w:t>
      </w:r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junto a Richard Martínez el movimiento de los Plenazos Callejeros. Este movimiento solidificó la presencia de la plena en todo el país provocando encuentros mensuales que integraron estilos de distintos pueblos y hermanaron a pleneros que no se conocía</w:t>
      </w:r>
      <w:r w:rsidR="003120B7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n</w:t>
      </w:r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. Fue codueño y gestor del proyecto La Junta en la calle Loíza. </w:t>
      </w:r>
      <w:r w:rsidR="00844560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Desarrolló</w:t>
      </w:r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, junto a Mariana, el proyecto </w:t>
      </w:r>
      <w:hyperlink r:id="rId8" w:history="1">
        <w:r w:rsidR="009F165D" w:rsidRPr="00323975">
          <w:rPr>
            <w:rStyle w:val="Hyperlink"/>
            <w:rFonts w:ascii="Book Antiqua" w:eastAsia="Times New Roman" w:hAnsi="Book Antiqua" w:cs="Times New Roman"/>
            <w:bCs/>
            <w:color w:val="000000" w:themeColor="text1"/>
            <w:sz w:val="24"/>
            <w:szCs w:val="24"/>
            <w:u w:val="none"/>
            <w:lang w:val="es-PR"/>
          </w:rPr>
          <w:t>Plena Cangrejera</w:t>
        </w:r>
      </w:hyperlink>
      <w:r w:rsidR="009F165D" w:rsidRPr="00323975"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  <w:lang w:val="es-PR"/>
        </w:rPr>
        <w:t>,</w:t>
      </w:r>
      <w:r w:rsidR="009F165D" w:rsidRPr="00323975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s-PR"/>
        </w:rPr>
        <w:t xml:space="preserve"> que rinde tributo a pleneros del gran barrio de Santurce. </w:t>
      </w:r>
    </w:p>
    <w:p w14:paraId="0864F3AD" w14:textId="77777777" w:rsidR="00750969" w:rsidRPr="00323975" w:rsidRDefault="00750969" w:rsidP="00D50465">
      <w:pPr>
        <w:suppressLineNumbers/>
        <w:spacing w:after="0" w:line="240" w:lineRule="auto"/>
        <w:ind w:firstLine="720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s-PR"/>
        </w:rPr>
      </w:pPr>
    </w:p>
    <w:p w14:paraId="5C5FED0C" w14:textId="3A2FFAC2" w:rsidR="009F165D" w:rsidRPr="00323975" w:rsidRDefault="00750969" w:rsidP="00750969">
      <w:pPr>
        <w:suppressLineNumbers/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4"/>
          <w:szCs w:val="24"/>
          <w:lang w:val="es-PR"/>
        </w:rPr>
      </w:pPr>
      <w:r w:rsidRPr="00323975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s-PR"/>
        </w:rPr>
        <w:t xml:space="preserve">Fue </w:t>
      </w:r>
      <w:r w:rsidR="009F165D" w:rsidRPr="00323975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s-PR"/>
        </w:rPr>
        <w:t xml:space="preserve">miembro </w:t>
      </w:r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fundador del Taller Comunidad La Goyco, junto a su </w:t>
      </w:r>
      <w:r w:rsidR="003120B7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esposa </w:t>
      </w:r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y un grupo de vecinos</w:t>
      </w:r>
      <w:r w:rsidR="003120B7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y f</w:t>
      </w: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undó</w:t>
      </w:r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La </w:t>
      </w: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C</w:t>
      </w:r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asa de la </w:t>
      </w: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P</w:t>
      </w:r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lena. </w:t>
      </w:r>
      <w:r w:rsidR="003120B7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Se </w:t>
      </w: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destacó como </w:t>
      </w:r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compositor, percusionista, cantante, educador, gestor cultural y activista comunitari</w:t>
      </w: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o. </w:t>
      </w:r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Su corazón dejó de latir el 18 de enero de 2022 en Santurce</w:t>
      </w:r>
      <w:r w:rsidR="003120B7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Puerto Rico</w:t>
      </w:r>
      <w:r w:rsidR="009F165D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, pero vive eternamente en donde quiera que suenen los panderos</w:t>
      </w: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. </w:t>
      </w:r>
    </w:p>
    <w:p w14:paraId="5FEA4532" w14:textId="64B5CCF1" w:rsidR="00750969" w:rsidRPr="00323975" w:rsidRDefault="00750969" w:rsidP="00750969">
      <w:pPr>
        <w:suppressLineNumbers/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4"/>
          <w:szCs w:val="24"/>
          <w:lang w:val="es-PR"/>
        </w:rPr>
      </w:pPr>
    </w:p>
    <w:p w14:paraId="2D8425D3" w14:textId="504FFE98" w:rsidR="00750969" w:rsidRPr="00323975" w:rsidRDefault="003120B7" w:rsidP="00750969">
      <w:pPr>
        <w:suppressLineNumbers/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4"/>
          <w:szCs w:val="24"/>
          <w:lang w:val="es-PR"/>
        </w:rPr>
      </w:pP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La trayectoria de vida de Tito Matos lo hace m</w:t>
      </w:r>
      <w:r w:rsidR="00765D00">
        <w:rPr>
          <w:rFonts w:ascii="Book Antiqua" w:eastAsia="Times New Roman" w:hAnsi="Book Antiqua" w:cs="Times New Roman"/>
          <w:sz w:val="24"/>
          <w:szCs w:val="24"/>
          <w:lang w:val="es-PR"/>
        </w:rPr>
        <w:t>erecedor</w:t>
      </w: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de que la calle Diez de Andino en Santurce, lleve su nombre en homenaje a su indeleble legado social, musical y cultural en reconocimiento a su vasta aportación a la plena en el mundo y en todo Puerto Rico.</w:t>
      </w:r>
    </w:p>
    <w:bookmarkEnd w:id="0"/>
    <w:p w14:paraId="111DFF0E" w14:textId="77777777" w:rsidR="004B7857" w:rsidRPr="00323975" w:rsidRDefault="004B7857" w:rsidP="003120B7">
      <w:pPr>
        <w:suppressLineNumbers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s-PR"/>
        </w:rPr>
      </w:pPr>
    </w:p>
    <w:p w14:paraId="46CE7C86" w14:textId="59061A61" w:rsidR="004B7857" w:rsidRPr="00323975" w:rsidRDefault="00D460AF" w:rsidP="00063DD7">
      <w:pPr>
        <w:suppressLineNumbers/>
        <w:spacing w:after="0" w:line="480" w:lineRule="auto"/>
        <w:jc w:val="both"/>
        <w:rPr>
          <w:rFonts w:ascii="Book Antiqua" w:eastAsia="Times New Roman" w:hAnsi="Book Antiqua" w:cs="Times New Roman"/>
          <w:i/>
          <w:sz w:val="24"/>
          <w:szCs w:val="24"/>
          <w:lang w:val="es-PR"/>
        </w:rPr>
      </w:pPr>
      <w:r w:rsidRPr="00323975">
        <w:rPr>
          <w:rFonts w:ascii="Book Antiqua" w:eastAsia="Times New Roman" w:hAnsi="Book Antiqua" w:cs="Times New Roman"/>
          <w:i/>
          <w:sz w:val="24"/>
          <w:szCs w:val="24"/>
          <w:lang w:val="es-PR"/>
        </w:rPr>
        <w:t>RESU</w:t>
      </w:r>
      <w:r w:rsidR="008D721D" w:rsidRPr="00323975">
        <w:rPr>
          <w:rFonts w:ascii="Book Antiqua" w:eastAsia="Times New Roman" w:hAnsi="Book Antiqua" w:cs="Times New Roman"/>
          <w:i/>
          <w:sz w:val="24"/>
          <w:szCs w:val="24"/>
          <w:lang w:val="es-PR"/>
        </w:rPr>
        <w:t>É</w:t>
      </w:r>
      <w:r w:rsidRPr="00323975">
        <w:rPr>
          <w:rFonts w:ascii="Book Antiqua" w:eastAsia="Times New Roman" w:hAnsi="Book Antiqua" w:cs="Times New Roman"/>
          <w:i/>
          <w:sz w:val="24"/>
          <w:szCs w:val="24"/>
          <w:lang w:val="es-PR"/>
        </w:rPr>
        <w:t>LVESE</w:t>
      </w:r>
      <w:r w:rsidR="004B7857" w:rsidRPr="00323975">
        <w:rPr>
          <w:rFonts w:ascii="Book Antiqua" w:eastAsia="Times New Roman" w:hAnsi="Book Antiqua" w:cs="Times New Roman"/>
          <w:i/>
          <w:sz w:val="24"/>
          <w:szCs w:val="24"/>
          <w:lang w:val="es-PR"/>
        </w:rPr>
        <w:t xml:space="preserve"> POR LA ASAMBLEA LEGISLATIVA DE PUERTO RICO:</w:t>
      </w:r>
    </w:p>
    <w:p w14:paraId="7A1258F7" w14:textId="1575DEB2" w:rsidR="003120B7" w:rsidRPr="00323975" w:rsidRDefault="00D460AF" w:rsidP="002C5811">
      <w:pPr>
        <w:spacing w:after="0" w:line="480" w:lineRule="auto"/>
        <w:ind w:firstLine="720"/>
        <w:jc w:val="both"/>
        <w:rPr>
          <w:rFonts w:ascii="Book Antiqua" w:eastAsia="Times New Roman" w:hAnsi="Book Antiqua" w:cs="Times New Roman"/>
          <w:sz w:val="24"/>
          <w:szCs w:val="24"/>
          <w:lang w:val="es-PR"/>
        </w:rPr>
      </w:pP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Sección 1.</w:t>
      </w:r>
      <w:r w:rsidR="00A82E20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</w:t>
      </w:r>
      <w:r w:rsidR="003120B7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–</w:t>
      </w:r>
      <w:r w:rsidR="00A82E20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</w:t>
      </w:r>
      <w:r w:rsidR="003120B7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Se d</w:t>
      </w:r>
      <w:r w:rsidR="002C5811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esigna</w:t>
      </w:r>
      <w:r w:rsidR="003120B7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la calle Diez De Andino en la jurisdicción del Municipio de San Juan 00911, con el nombre de “Tito Matos</w:t>
      </w:r>
      <w:r w:rsidR="005E358C">
        <w:rPr>
          <w:rFonts w:ascii="Book Antiqua" w:eastAsia="Times New Roman" w:hAnsi="Book Antiqua" w:cs="Times New Roman"/>
          <w:sz w:val="24"/>
          <w:szCs w:val="24"/>
          <w:lang w:val="es-PR"/>
        </w:rPr>
        <w:t>”</w:t>
      </w:r>
      <w:r w:rsidR="003120B7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.</w:t>
      </w:r>
    </w:p>
    <w:p w14:paraId="6DA01CA3" w14:textId="3E9F8C64" w:rsidR="009A68FA" w:rsidRPr="00323975" w:rsidRDefault="00AA7DF8" w:rsidP="002C5811">
      <w:pPr>
        <w:spacing w:after="0" w:line="480" w:lineRule="auto"/>
        <w:ind w:firstLine="720"/>
        <w:jc w:val="both"/>
        <w:rPr>
          <w:rFonts w:ascii="Book Antiqua" w:eastAsia="Times New Roman" w:hAnsi="Book Antiqua" w:cs="Times New Roman"/>
          <w:sz w:val="24"/>
          <w:szCs w:val="24"/>
          <w:lang w:val="es-PR"/>
        </w:rPr>
      </w:pP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Sección 2.</w:t>
      </w:r>
      <w:r w:rsidR="00A82E20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–</w:t>
      </w:r>
      <w:r w:rsidR="002C5811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</w:t>
      </w:r>
      <w:r w:rsidR="002C5811" w:rsidRPr="00323975">
        <w:rPr>
          <w:rFonts w:ascii="Book Antiqua" w:hAnsi="Book Antiqua"/>
          <w:szCs w:val="24"/>
          <w:lang w:val="es-PR"/>
        </w:rPr>
        <w:t>El Departamento de Trasportación y Obras Públicas del Gobierno</w:t>
      </w:r>
      <w:r w:rsidR="002C5811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de Puerto Rico </w:t>
      </w:r>
      <w:r w:rsidR="005B6153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y el Municipio de San Juan </w:t>
      </w:r>
      <w:r w:rsidR="002C5811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tomará</w:t>
      </w:r>
      <w:r w:rsidR="005B6153">
        <w:rPr>
          <w:rFonts w:ascii="Book Antiqua" w:eastAsia="Times New Roman" w:hAnsi="Book Antiqua" w:cs="Times New Roman"/>
          <w:sz w:val="24"/>
          <w:szCs w:val="24"/>
          <w:lang w:val="es-PR"/>
        </w:rPr>
        <w:t>n</w:t>
      </w:r>
      <w:r w:rsidR="002C5811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las medidas necesarias para la rotulación correspondiente </w:t>
      </w:r>
      <w:r w:rsidR="003120B7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conforme lo dispone</w:t>
      </w:r>
      <w:r w:rsidR="002C5811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esta Resolución Conjunta</w:t>
      </w:r>
      <w:r w:rsidR="003120B7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.</w:t>
      </w:r>
    </w:p>
    <w:p w14:paraId="32779DD7" w14:textId="0F6FDCAE" w:rsidR="007C09D2" w:rsidRPr="00323975" w:rsidRDefault="009A68FA" w:rsidP="00844560">
      <w:pPr>
        <w:spacing w:after="0" w:line="480" w:lineRule="auto"/>
        <w:ind w:firstLine="720"/>
        <w:jc w:val="both"/>
        <w:rPr>
          <w:rFonts w:ascii="Book Antiqua" w:hAnsi="Book Antiqua"/>
          <w:szCs w:val="24"/>
          <w:lang w:val="es-PR"/>
        </w:rPr>
      </w:pP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lastRenderedPageBreak/>
        <w:t>Sección 3.</w:t>
      </w:r>
      <w:r w:rsidR="00504017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</w:t>
      </w: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-</w:t>
      </w:r>
      <w:r w:rsidR="00504017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</w:t>
      </w:r>
      <w:r w:rsidR="002C5811" w:rsidRPr="00323975">
        <w:rPr>
          <w:rFonts w:ascii="Book Antiqua" w:hAnsi="Book Antiqua"/>
          <w:iCs/>
          <w:szCs w:val="24"/>
          <w:lang w:val="es-PR"/>
        </w:rPr>
        <w:t xml:space="preserve">Se </w:t>
      </w:r>
      <w:r w:rsidR="003120B7" w:rsidRPr="00323975">
        <w:rPr>
          <w:rFonts w:ascii="Book Antiqua" w:hAnsi="Book Antiqua"/>
          <w:iCs/>
          <w:szCs w:val="24"/>
          <w:lang w:val="es-PR"/>
        </w:rPr>
        <w:t>faculta</w:t>
      </w:r>
      <w:r w:rsidR="002C5811" w:rsidRPr="00323975">
        <w:rPr>
          <w:rFonts w:ascii="Book Antiqua" w:hAnsi="Book Antiqua"/>
          <w:iCs/>
          <w:szCs w:val="24"/>
          <w:lang w:val="es-PR"/>
        </w:rPr>
        <w:t xml:space="preserve"> al</w:t>
      </w:r>
      <w:r w:rsidR="00844560" w:rsidRPr="00323975">
        <w:rPr>
          <w:rFonts w:ascii="Book Antiqua" w:hAnsi="Book Antiqua"/>
          <w:szCs w:val="24"/>
          <w:lang w:val="es-PR"/>
        </w:rPr>
        <w:t xml:space="preserve"> </w:t>
      </w:r>
      <w:r w:rsidR="002C5811" w:rsidRPr="00323975">
        <w:rPr>
          <w:rFonts w:ascii="Book Antiqua" w:eastAsia="Times New Roman" w:hAnsi="Book Antiqua" w:cs="Times New Roman"/>
          <w:iCs/>
          <w:sz w:val="24"/>
          <w:szCs w:val="24"/>
          <w:lang w:val="es-PR"/>
        </w:rPr>
        <w:t xml:space="preserve">Departamento de Trasportación Y </w:t>
      </w:r>
      <w:r w:rsidR="003120B7" w:rsidRPr="00323975">
        <w:rPr>
          <w:rFonts w:ascii="Book Antiqua" w:eastAsia="Times New Roman" w:hAnsi="Book Antiqua" w:cs="Times New Roman"/>
          <w:iCs/>
          <w:sz w:val="24"/>
          <w:szCs w:val="24"/>
          <w:lang w:val="es-PR"/>
        </w:rPr>
        <w:t>O</w:t>
      </w:r>
      <w:r w:rsidR="002C5811" w:rsidRPr="00323975">
        <w:rPr>
          <w:rFonts w:ascii="Book Antiqua" w:eastAsia="Times New Roman" w:hAnsi="Book Antiqua" w:cs="Times New Roman"/>
          <w:iCs/>
          <w:sz w:val="24"/>
          <w:szCs w:val="24"/>
          <w:lang w:val="es-PR"/>
        </w:rPr>
        <w:t>bras Publicas a peticionar, aceptar, recibir,</w:t>
      </w:r>
      <w:r w:rsidR="00844560" w:rsidRPr="00323975">
        <w:rPr>
          <w:rFonts w:ascii="Book Antiqua" w:hAnsi="Book Antiqua"/>
          <w:szCs w:val="24"/>
          <w:lang w:val="es-PR"/>
        </w:rPr>
        <w:t xml:space="preserve"> </w:t>
      </w:r>
      <w:r w:rsidR="002C5811" w:rsidRPr="00323975">
        <w:rPr>
          <w:rFonts w:ascii="Book Antiqua" w:eastAsia="Times New Roman" w:hAnsi="Book Antiqua" w:cs="Times New Roman"/>
          <w:iCs/>
          <w:sz w:val="24"/>
          <w:szCs w:val="24"/>
          <w:lang w:val="es-PR"/>
        </w:rPr>
        <w:t>preparar y someter propuestas para aportaciones y</w:t>
      </w:r>
      <w:r w:rsidR="00844560" w:rsidRPr="00323975">
        <w:rPr>
          <w:rFonts w:ascii="Book Antiqua" w:eastAsia="Times New Roman" w:hAnsi="Book Antiqua" w:cs="Times New Roman"/>
          <w:iCs/>
          <w:sz w:val="24"/>
          <w:szCs w:val="24"/>
          <w:lang w:val="es-PR"/>
        </w:rPr>
        <w:t xml:space="preserve"> </w:t>
      </w:r>
      <w:r w:rsidR="002C5811" w:rsidRPr="00323975">
        <w:rPr>
          <w:rFonts w:ascii="Book Antiqua" w:eastAsia="Times New Roman" w:hAnsi="Book Antiqua" w:cs="Times New Roman"/>
          <w:iCs/>
          <w:sz w:val="24"/>
          <w:szCs w:val="24"/>
          <w:lang w:val="es-PR"/>
        </w:rPr>
        <w:t>donativos de recursos de</w:t>
      </w:r>
      <w:r w:rsidR="002C5811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</w:t>
      </w:r>
      <w:r w:rsidR="002C5811" w:rsidRPr="00323975">
        <w:rPr>
          <w:rFonts w:ascii="Book Antiqua" w:eastAsia="Times New Roman" w:hAnsi="Book Antiqua" w:cs="Times New Roman"/>
          <w:iCs/>
          <w:sz w:val="24"/>
          <w:szCs w:val="24"/>
          <w:lang w:val="es-PR"/>
        </w:rPr>
        <w:t>fuentes públicas y privadas; parear cualesquiera fondos disponibles con aportaciones federales, estatales, municipales o del sector privado; así como a entrar en acuerdos colaborativos con cualquier ente, público o privado, dispuesto a participar en el financiamiento de esta rotulación.</w:t>
      </w:r>
    </w:p>
    <w:p w14:paraId="152C016B" w14:textId="12BA948E" w:rsidR="00D50465" w:rsidRPr="00323975" w:rsidRDefault="00F4387F" w:rsidP="00844560">
      <w:pPr>
        <w:spacing w:after="0" w:line="480" w:lineRule="auto"/>
        <w:ind w:firstLine="720"/>
        <w:jc w:val="both"/>
        <w:rPr>
          <w:rFonts w:ascii="Book Antiqua" w:eastAsia="Calibri" w:hAnsi="Book Antiqua" w:cs="Times New Roman"/>
          <w:sz w:val="24"/>
          <w:szCs w:val="24"/>
          <w:lang w:val="es-PR"/>
        </w:rPr>
      </w:pP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Sección </w:t>
      </w:r>
      <w:r w:rsidR="00F26DC4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4</w:t>
      </w: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.</w:t>
      </w:r>
      <w:r w:rsidR="00A82E20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</w:t>
      </w: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-</w:t>
      </w:r>
      <w:r w:rsidR="00A82E20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</w:t>
      </w: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Esta Resolución </w:t>
      </w:r>
      <w:r w:rsidR="00DF4D20"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>Conjunta</w:t>
      </w:r>
      <w:r w:rsidRPr="00323975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comenzará a regir inmediatamente después de su aprobación.</w:t>
      </w:r>
      <w:r w:rsidR="004B7857" w:rsidRPr="00323975">
        <w:rPr>
          <w:rFonts w:ascii="Book Antiqua" w:eastAsia="Calibri" w:hAnsi="Book Antiqua" w:cs="Times New Roman"/>
          <w:sz w:val="24"/>
          <w:szCs w:val="24"/>
          <w:lang w:val="es-PR"/>
        </w:rPr>
        <w:t xml:space="preserve"> </w:t>
      </w:r>
    </w:p>
    <w:sectPr w:rsidR="00D50465" w:rsidRPr="00323975" w:rsidSect="00A82E20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lnNumType w:countBy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017C3" w14:textId="77777777" w:rsidR="003D7DAC" w:rsidRDefault="003D7DAC">
      <w:pPr>
        <w:spacing w:after="0" w:line="240" w:lineRule="auto"/>
      </w:pPr>
      <w:r>
        <w:separator/>
      </w:r>
    </w:p>
  </w:endnote>
  <w:endnote w:type="continuationSeparator" w:id="0">
    <w:p w14:paraId="6A9ECA8E" w14:textId="77777777" w:rsidR="003D7DAC" w:rsidRDefault="003D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8833C" w14:textId="77777777" w:rsidR="003D7DAC" w:rsidRDefault="003D7DAC">
      <w:pPr>
        <w:spacing w:after="0" w:line="240" w:lineRule="auto"/>
      </w:pPr>
      <w:r>
        <w:separator/>
      </w:r>
    </w:p>
  </w:footnote>
  <w:footnote w:type="continuationSeparator" w:id="0">
    <w:p w14:paraId="6566689E" w14:textId="77777777" w:rsidR="003D7DAC" w:rsidRDefault="003D7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CD8A2" w14:textId="404CD7E1" w:rsidR="00A83F36" w:rsidRDefault="00A83F36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3477">
      <w:rPr>
        <w:rStyle w:val="PageNumber"/>
        <w:noProof/>
      </w:rPr>
      <w:t>4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19058" w14:textId="77777777" w:rsidR="00A83F36" w:rsidRDefault="00A83F36">
    <w:pPr>
      <w:pStyle w:val="Header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361BD"/>
    <w:multiLevelType w:val="hybridMultilevel"/>
    <w:tmpl w:val="4A82AFF6"/>
    <w:lvl w:ilvl="0" w:tplc="73309A70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344020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857"/>
    <w:rsid w:val="00012A48"/>
    <w:rsid w:val="00033D2E"/>
    <w:rsid w:val="000349EC"/>
    <w:rsid w:val="00041986"/>
    <w:rsid w:val="00063DD7"/>
    <w:rsid w:val="000A4AD2"/>
    <w:rsid w:val="000B45E0"/>
    <w:rsid w:val="00121739"/>
    <w:rsid w:val="001F0108"/>
    <w:rsid w:val="00215C0F"/>
    <w:rsid w:val="002437D3"/>
    <w:rsid w:val="002479EA"/>
    <w:rsid w:val="002C5811"/>
    <w:rsid w:val="002E2460"/>
    <w:rsid w:val="003120B7"/>
    <w:rsid w:val="003120DD"/>
    <w:rsid w:val="003202C8"/>
    <w:rsid w:val="00323975"/>
    <w:rsid w:val="00345878"/>
    <w:rsid w:val="003970DC"/>
    <w:rsid w:val="003B2533"/>
    <w:rsid w:val="003C2CFF"/>
    <w:rsid w:val="003D7DAC"/>
    <w:rsid w:val="003D7F48"/>
    <w:rsid w:val="004001C8"/>
    <w:rsid w:val="004222C7"/>
    <w:rsid w:val="004267CE"/>
    <w:rsid w:val="00432F94"/>
    <w:rsid w:val="00474E16"/>
    <w:rsid w:val="004A4B6B"/>
    <w:rsid w:val="004B7857"/>
    <w:rsid w:val="004C01CC"/>
    <w:rsid w:val="00504017"/>
    <w:rsid w:val="00510370"/>
    <w:rsid w:val="00512984"/>
    <w:rsid w:val="005160A8"/>
    <w:rsid w:val="00533EBF"/>
    <w:rsid w:val="005453CC"/>
    <w:rsid w:val="00565887"/>
    <w:rsid w:val="00573C83"/>
    <w:rsid w:val="00590FD4"/>
    <w:rsid w:val="005B6153"/>
    <w:rsid w:val="005E358C"/>
    <w:rsid w:val="0061508B"/>
    <w:rsid w:val="00697CAC"/>
    <w:rsid w:val="006A52FD"/>
    <w:rsid w:val="006C0A5B"/>
    <w:rsid w:val="006D24DA"/>
    <w:rsid w:val="00722FCE"/>
    <w:rsid w:val="00724641"/>
    <w:rsid w:val="0073164C"/>
    <w:rsid w:val="00750969"/>
    <w:rsid w:val="00765D00"/>
    <w:rsid w:val="007C09D2"/>
    <w:rsid w:val="007C0B72"/>
    <w:rsid w:val="007D10BE"/>
    <w:rsid w:val="00844560"/>
    <w:rsid w:val="0086709A"/>
    <w:rsid w:val="00892D4F"/>
    <w:rsid w:val="008D721D"/>
    <w:rsid w:val="00906E58"/>
    <w:rsid w:val="009463A2"/>
    <w:rsid w:val="009A68FA"/>
    <w:rsid w:val="009F165D"/>
    <w:rsid w:val="00A33477"/>
    <w:rsid w:val="00A66738"/>
    <w:rsid w:val="00A82E20"/>
    <w:rsid w:val="00A83F36"/>
    <w:rsid w:val="00AA52FB"/>
    <w:rsid w:val="00AA7DF8"/>
    <w:rsid w:val="00B105AC"/>
    <w:rsid w:val="00B226C7"/>
    <w:rsid w:val="00BA4B2A"/>
    <w:rsid w:val="00BB7BFE"/>
    <w:rsid w:val="00BC708B"/>
    <w:rsid w:val="00BE0AFC"/>
    <w:rsid w:val="00C97CC7"/>
    <w:rsid w:val="00CE03A0"/>
    <w:rsid w:val="00D460AF"/>
    <w:rsid w:val="00D50465"/>
    <w:rsid w:val="00D61714"/>
    <w:rsid w:val="00DF4D20"/>
    <w:rsid w:val="00E236EB"/>
    <w:rsid w:val="00E700D7"/>
    <w:rsid w:val="00EB235B"/>
    <w:rsid w:val="00EE20E8"/>
    <w:rsid w:val="00F143D1"/>
    <w:rsid w:val="00F229B2"/>
    <w:rsid w:val="00F26DC4"/>
    <w:rsid w:val="00F4387F"/>
    <w:rsid w:val="00F775DE"/>
    <w:rsid w:val="00FC3B18"/>
    <w:rsid w:val="00FE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7F7F2"/>
  <w15:chartTrackingRefBased/>
  <w15:docId w15:val="{9916AF47-3B49-4F6E-8B85-88938F8C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7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7857"/>
  </w:style>
  <w:style w:type="character" w:styleId="PageNumber">
    <w:name w:val="page number"/>
    <w:basedOn w:val="DefaultParagraphFont"/>
    <w:rsid w:val="004B7857"/>
  </w:style>
  <w:style w:type="character" w:styleId="LineNumber">
    <w:name w:val="line number"/>
    <w:basedOn w:val="DefaultParagraphFont"/>
    <w:uiPriority w:val="99"/>
    <w:semiHidden/>
    <w:unhideWhenUsed/>
    <w:rsid w:val="004B7857"/>
  </w:style>
  <w:style w:type="paragraph" w:styleId="BalloonText">
    <w:name w:val="Balloon Text"/>
    <w:basedOn w:val="Normal"/>
    <w:link w:val="BalloonTextChar"/>
    <w:uiPriority w:val="99"/>
    <w:semiHidden/>
    <w:unhideWhenUsed/>
    <w:rsid w:val="008D7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21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9463A2"/>
    <w:pPr>
      <w:overflowPunct w:val="0"/>
      <w:autoSpaceDE w:val="0"/>
      <w:autoSpaceDN w:val="0"/>
      <w:adjustRightInd w:val="0"/>
      <w:spacing w:after="0" w:line="480" w:lineRule="auto"/>
      <w:jc w:val="center"/>
      <w:textAlignment w:val="baseline"/>
    </w:pPr>
    <w:rPr>
      <w:rFonts w:ascii="Comic Sans MS" w:eastAsia="SimSun" w:hAnsi="Comic Sans MS" w:cs="Times New Roman"/>
      <w:b/>
      <w:szCs w:val="20"/>
      <w:lang w:val="es-PR"/>
    </w:rPr>
  </w:style>
  <w:style w:type="character" w:customStyle="1" w:styleId="TitleChar">
    <w:name w:val="Title Char"/>
    <w:basedOn w:val="DefaultParagraphFont"/>
    <w:link w:val="Title"/>
    <w:rsid w:val="009463A2"/>
    <w:rPr>
      <w:rFonts w:ascii="Comic Sans MS" w:eastAsia="SimSun" w:hAnsi="Comic Sans MS" w:cs="Times New Roman"/>
      <w:b/>
      <w:szCs w:val="20"/>
      <w:lang w:val="es-PR"/>
    </w:rPr>
  </w:style>
  <w:style w:type="character" w:styleId="Hyperlink">
    <w:name w:val="Hyperlink"/>
    <w:basedOn w:val="DefaultParagraphFont"/>
    <w:uiPriority w:val="99"/>
    <w:unhideWhenUsed/>
    <w:rsid w:val="009F16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65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C58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enacangrejera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292EB-C4E1-4E30-9D2C-5C859B49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OFSA Comunidades Especiales PR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amca</dc:creator>
  <cp:keywords/>
  <dc:description/>
  <cp:lastModifiedBy>Juan C. Marrero Velázquez</cp:lastModifiedBy>
  <cp:revision>5</cp:revision>
  <cp:lastPrinted>2021-01-04T20:44:00Z</cp:lastPrinted>
  <dcterms:created xsi:type="dcterms:W3CDTF">2023-02-06T13:37:00Z</dcterms:created>
  <dcterms:modified xsi:type="dcterms:W3CDTF">2023-11-09T14:39:00Z</dcterms:modified>
</cp:coreProperties>
</file>