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79E" w14:textId="77777777" w:rsidR="0053644E" w:rsidRDefault="0053644E" w:rsidP="0053644E">
      <w:pPr>
        <w:suppressLineNumbers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(TEXTO DE APROBACION FINAL POR LA CAMARA)</w:t>
      </w:r>
      <w:r>
        <w:rPr>
          <w:rFonts w:ascii="Book Antiqua" w:hAnsi="Book Antiqua" w:cs="Arial"/>
          <w:b/>
          <w:bCs/>
          <w:sz w:val="24"/>
          <w:szCs w:val="24"/>
        </w:rPr>
        <w:fldChar w:fldCharType="begin"/>
      </w:r>
      <w:r>
        <w:rPr>
          <w:rFonts w:ascii="Book Antiqua" w:hAnsi="Book Antiqua" w:cs="Arial"/>
          <w:b/>
          <w:bCs/>
          <w:sz w:val="24"/>
          <w:szCs w:val="24"/>
        </w:rPr>
        <w:instrText xml:space="preserve">PRIVATE </w:instrText>
      </w:r>
      <w:r>
        <w:rPr>
          <w:rFonts w:ascii="Book Antiqua" w:hAnsi="Book Antiqua" w:cs="Arial"/>
          <w:b/>
          <w:bCs/>
          <w:sz w:val="24"/>
          <w:szCs w:val="24"/>
        </w:rPr>
        <w:fldChar w:fldCharType="end"/>
      </w:r>
    </w:p>
    <w:p w14:paraId="79BE5FC4" w14:textId="77777777" w:rsidR="0053644E" w:rsidRDefault="0053644E" w:rsidP="0053644E">
      <w:pPr>
        <w:suppressLineNumbers/>
        <w:suppressAutoHyphens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(22 DE JUNIO DE 2023)</w:t>
      </w:r>
    </w:p>
    <w:p w14:paraId="176CEB53" w14:textId="77777777" w:rsidR="0053644E" w:rsidRDefault="0053644E" w:rsidP="0053644E">
      <w:pPr>
        <w:suppressLineNumbers/>
        <w:spacing w:after="0" w:line="240" w:lineRule="auto"/>
        <w:jc w:val="both"/>
        <w:rPr>
          <w:rFonts w:ascii="Book Antiqua" w:hAnsi="Book Antiqua"/>
          <w:b/>
          <w:strike/>
          <w:sz w:val="24"/>
          <w:szCs w:val="24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8C9237" wp14:editId="53D211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11BB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xZ5gEAALQ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" o:allowincell="f" fillcolor="black" stroked="f" strokeweight=".05pt">
                <w10:wrap anchorx="margin"/>
              </v:rect>
            </w:pict>
          </mc:Fallback>
        </mc:AlternateContent>
      </w:r>
    </w:p>
    <w:p w14:paraId="2E961503" w14:textId="2A03C47A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8"/>
          <w:szCs w:val="20"/>
          <w:lang w:val="es-ES_tradnl"/>
        </w:rPr>
        <w:t>ESTADO LIBRE ASOCIADO DE PUERTO RICO</w:t>
      </w:r>
    </w:p>
    <w:p w14:paraId="4EB0E47D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val="es-ES_tradnl"/>
        </w:rPr>
      </w:pPr>
    </w:p>
    <w:p w14:paraId="733A656D" w14:textId="77777777" w:rsidR="002507B4" w:rsidRPr="00782657" w:rsidRDefault="002507B4" w:rsidP="002507B4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19na.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Asamblea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5t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a.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Sesión</w:t>
      </w:r>
    </w:p>
    <w:p w14:paraId="2251F485" w14:textId="77777777" w:rsidR="002507B4" w:rsidRPr="00782657" w:rsidRDefault="002507B4" w:rsidP="002507B4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Legislativa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Ordinaria</w:t>
      </w:r>
    </w:p>
    <w:p w14:paraId="3D1E57C7" w14:textId="77777777" w:rsidR="002507B4" w:rsidRPr="00782657" w:rsidRDefault="002507B4" w:rsidP="0025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</w:p>
    <w:p w14:paraId="501A2F61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b/>
          <w:sz w:val="36"/>
          <w:szCs w:val="20"/>
          <w:lang w:val="es-ES_tradnl"/>
        </w:rPr>
        <w:t>CÁMARA DE REPRESENTANTES</w:t>
      </w:r>
    </w:p>
    <w:p w14:paraId="5027613A" w14:textId="7AE29658" w:rsidR="002507B4" w:rsidRPr="00782657" w:rsidRDefault="002507B4" w:rsidP="002507B4">
      <w:pPr>
        <w:spacing w:before="240" w:after="0" w:line="240" w:lineRule="auto"/>
        <w:jc w:val="center"/>
        <w:rPr>
          <w:rFonts w:ascii="Book Antiqua" w:eastAsia="Times New Roman" w:hAnsi="Book Antiqua" w:cs="Times New Roman"/>
          <w:b/>
          <w:sz w:val="52"/>
          <w:szCs w:val="20"/>
          <w:lang w:val="es-ES_tradnl"/>
        </w:rPr>
      </w:pPr>
      <w:r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R</w:t>
      </w:r>
      <w:r w:rsidRPr="00782657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.</w:t>
      </w:r>
      <w:r w:rsidR="00D31E54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 xml:space="preserve"> C.</w:t>
      </w:r>
      <w:r w:rsidRPr="00782657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 xml:space="preserve"> de la C. </w:t>
      </w:r>
      <w:r w:rsidR="003C5E13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483</w:t>
      </w:r>
    </w:p>
    <w:p w14:paraId="11C9DEFE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087C5F7D" w14:textId="6361A733" w:rsidR="002507B4" w:rsidRPr="00782657" w:rsidRDefault="00D5083C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14 </w:t>
      </w:r>
      <w:r w:rsidR="002507B4"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DE </w:t>
      </w:r>
      <w:r w:rsidR="002507B4">
        <w:rPr>
          <w:rFonts w:ascii="Book Antiqua" w:eastAsia="Times New Roman" w:hAnsi="Book Antiqua" w:cs="Times New Roman"/>
          <w:sz w:val="24"/>
          <w:szCs w:val="20"/>
          <w:lang w:val="es-ES_tradnl"/>
        </w:rPr>
        <w:t>ABRIL</w:t>
      </w:r>
      <w:r w:rsidR="002507B4"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 202</w:t>
      </w:r>
      <w:r w:rsidR="002507B4">
        <w:rPr>
          <w:rFonts w:ascii="Book Antiqua" w:eastAsia="Times New Roman" w:hAnsi="Book Antiqua" w:cs="Times New Roman"/>
          <w:sz w:val="24"/>
          <w:szCs w:val="20"/>
          <w:lang w:val="es-ES_tradnl"/>
        </w:rPr>
        <w:t>3</w:t>
      </w:r>
    </w:p>
    <w:p w14:paraId="2667EE24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7C27A99A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Presentado por el representante </w:t>
      </w:r>
      <w:r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Ferrer Santiago</w:t>
      </w:r>
    </w:p>
    <w:p w14:paraId="18A26093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285FA2F9" w14:textId="08846941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Referido a </w:t>
      </w:r>
      <w:r w:rsidR="00D35F2A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la Comisión de </w:t>
      </w:r>
      <w:r w:rsidR="00D35F2A">
        <w:rPr>
          <w:rFonts w:ascii="Book Antiqua" w:hAnsi="Book Antiqua"/>
          <w:sz w:val="24"/>
          <w:szCs w:val="24"/>
        </w:rPr>
        <w:t>Transportación, Infraestructura y Obras Públicas</w:t>
      </w:r>
    </w:p>
    <w:p w14:paraId="77FBED71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16D0F0BA" w14:textId="3B234BE6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val="es-ES_tradnl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val="es-ES_tradnl"/>
        </w:rPr>
        <w:t>RESOLUCIÓN</w:t>
      </w:r>
      <w:r w:rsidR="00D35F2A">
        <w:rPr>
          <w:rFonts w:ascii="Book Antiqua" w:eastAsia="Times New Roman" w:hAnsi="Book Antiqua" w:cs="Times New Roman"/>
          <w:b/>
          <w:sz w:val="28"/>
          <w:szCs w:val="20"/>
          <w:lang w:val="es-ES_tradnl"/>
        </w:rPr>
        <w:t xml:space="preserve"> CONJUNTA</w:t>
      </w:r>
    </w:p>
    <w:p w14:paraId="68AFDFF7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3E30031D" w14:textId="25F184B7" w:rsidR="002507B4" w:rsidRPr="00782657" w:rsidRDefault="002507B4" w:rsidP="002507B4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Para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ordenarle </w:t>
      </w:r>
      <w:bookmarkStart w:id="0" w:name="_Hlk132273631"/>
      <w:r w:rsidR="00D31E54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al </w:t>
      </w:r>
      <w:r w:rsidR="008C2AF5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del Estado Libre Asociado de Puerto Rico, realizar una investigación abarcadora</w:t>
      </w:r>
      <w:bookmarkStart w:id="1" w:name="_Hlk132363974"/>
      <w:r w:rsidR="00D31E54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9E1DE8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sobre las posibles maneras para mitigar la vulnerabilidad que enfrenta la Carretera PR-187 a causa de las marejadas y </w:t>
      </w:r>
      <w:bookmarkEnd w:id="1"/>
      <w:r w:rsidR="009E1DE8">
        <w:rPr>
          <w:rFonts w:ascii="Book Antiqua" w:eastAsia="Times New Roman" w:hAnsi="Book Antiqua" w:cs="Times New Roman"/>
          <w:sz w:val="24"/>
          <w:szCs w:val="20"/>
          <w:lang w:val="es-ES_tradnl"/>
        </w:rPr>
        <w:t>otros fenómenos meteorológicos; sobre la posibilidad de mover esta carretera hacia el sur de su actual localización en los tramos en que sea posible</w:t>
      </w:r>
      <w:r w:rsidR="005E3326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; </w:t>
      </w:r>
      <w:bookmarkEnd w:id="0"/>
      <w:r w:rsidRPr="005E3326">
        <w:rPr>
          <w:rFonts w:ascii="Book Antiqua" w:eastAsia="Times New Roman" w:hAnsi="Book Antiqua" w:cs="Times New Roman"/>
          <w:sz w:val="24"/>
          <w:szCs w:val="20"/>
          <w:lang w:val="es-ES_tradnl"/>
        </w:rPr>
        <w:t>y para otros fines relacionados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.</w:t>
      </w:r>
    </w:p>
    <w:p w14:paraId="52F43717" w14:textId="77777777" w:rsidR="002507B4" w:rsidRPr="00782657" w:rsidRDefault="002507B4" w:rsidP="002507B4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7DF25919" w14:textId="77777777" w:rsidR="002507B4" w:rsidRDefault="002507B4" w:rsidP="002507B4">
      <w:pPr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EXPOSICIÓN DE MOTIVOS</w:t>
      </w:r>
    </w:p>
    <w:p w14:paraId="55511BED" w14:textId="77777777" w:rsidR="002507B4" w:rsidRPr="00782657" w:rsidRDefault="002507B4" w:rsidP="002507B4">
      <w:pPr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23A93914" w14:textId="35C23629" w:rsidR="002507B4" w:rsidRDefault="00993B12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993B12">
        <w:rPr>
          <w:rFonts w:ascii="Book Antiqua" w:eastAsia="Times New Roman" w:hAnsi="Book Antiqua" w:cs="Times New Roman"/>
          <w:sz w:val="24"/>
          <w:szCs w:val="20"/>
          <w:lang w:val="es-ES_tradnl"/>
        </w:rPr>
        <w:t>La Carretera PR-187 es la vía de comunicación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terrestre más importante que sirve al Municipio de Loíza</w:t>
      </w:r>
      <w:r w:rsidR="002507B4">
        <w:rPr>
          <w:rFonts w:ascii="Book Antiqua" w:eastAsia="Times New Roman" w:hAnsi="Book Antiqua" w:cs="Times New Roman"/>
          <w:sz w:val="24"/>
          <w:szCs w:val="20"/>
        </w:rPr>
        <w:t>.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Dicha carretera </w:t>
      </w:r>
      <w:r w:rsidR="00D31E54">
        <w:rPr>
          <w:rFonts w:ascii="Book Antiqua" w:eastAsia="Times New Roman" w:hAnsi="Book Antiqua" w:cs="Times New Roman"/>
          <w:sz w:val="24"/>
          <w:szCs w:val="20"/>
        </w:rPr>
        <w:t xml:space="preserve">es la vía de acceso principal al municipio y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comunica internamente </w:t>
      </w:r>
      <w:r w:rsidR="00D31E54">
        <w:rPr>
          <w:rFonts w:ascii="Book Antiqua" w:eastAsia="Times New Roman" w:hAnsi="Book Antiqua" w:cs="Times New Roman"/>
          <w:sz w:val="24"/>
          <w:szCs w:val="20"/>
        </w:rPr>
        <w:t>sus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diferentes barrios y sectores de este municipio</w:t>
      </w:r>
      <w:r w:rsidR="00D31E54">
        <w:rPr>
          <w:rFonts w:ascii="Book Antiqua" w:eastAsia="Times New Roman" w:hAnsi="Book Antiqua" w:cs="Times New Roman"/>
          <w:sz w:val="24"/>
          <w:szCs w:val="20"/>
        </w:rPr>
        <w:t>.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="00D31E54">
        <w:rPr>
          <w:rFonts w:ascii="Book Antiqua" w:eastAsia="Times New Roman" w:hAnsi="Book Antiqua" w:cs="Times New Roman"/>
          <w:sz w:val="24"/>
          <w:szCs w:val="20"/>
        </w:rPr>
        <w:t>Por su importancia</w:t>
      </w:r>
      <w:r>
        <w:rPr>
          <w:rFonts w:ascii="Book Antiqua" w:eastAsia="Times New Roman" w:hAnsi="Book Antiqua" w:cs="Times New Roman"/>
          <w:sz w:val="24"/>
          <w:szCs w:val="20"/>
        </w:rPr>
        <w:t xml:space="preserve">, esta vía ha sido catalogada </w:t>
      </w:r>
      <w:r w:rsidR="006D2F06">
        <w:rPr>
          <w:rFonts w:ascii="Book Antiqua" w:eastAsia="Times New Roman" w:hAnsi="Book Antiqua" w:cs="Times New Roman"/>
          <w:sz w:val="24"/>
          <w:szCs w:val="20"/>
        </w:rPr>
        <w:t xml:space="preserve">como ruta de desalojo en el caso de un tsunami.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</w:t>
      </w:r>
    </w:p>
    <w:p w14:paraId="2DFF6FE9" w14:textId="77777777" w:rsidR="002507B4" w:rsidRDefault="002507B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0A2E550C" w14:textId="5C640D26" w:rsidR="006D2F06" w:rsidRDefault="006D2F06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Así mismo, por la cercanía de la Carretera PR-187 a la costa del Océano Atlántico</w:t>
      </w:r>
      <w:r w:rsidR="00D31E54">
        <w:rPr>
          <w:rFonts w:ascii="Book Antiqua" w:eastAsia="Times New Roman" w:hAnsi="Book Antiqua" w:cs="Times New Roman"/>
          <w:sz w:val="24"/>
          <w:szCs w:val="20"/>
        </w:rPr>
        <w:t>,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esta es sumamente vulnerable a las marejadas y otros fenómenos meteorológicos similares, los cuales por su frecuencia impiden el tránsito de vehículos y dejan incomunicado al Municipio de Loíza por vía terrestre.</w:t>
      </w:r>
    </w:p>
    <w:p w14:paraId="39F7AD1F" w14:textId="77777777" w:rsidR="002D7001" w:rsidRDefault="002D7001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3B750799" w14:textId="634EFE59" w:rsidR="002507B4" w:rsidRDefault="002D7001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Debido a estos problemas que se repiten continuamente es necesario que el Departamento de Transportación y Obras Públicas (DTOP) </w:t>
      </w:r>
      <w:r w:rsidR="00D31E54">
        <w:rPr>
          <w:rFonts w:ascii="Book Antiqua" w:eastAsia="Times New Roman" w:hAnsi="Book Antiqua" w:cs="Times New Roman"/>
          <w:sz w:val="24"/>
          <w:szCs w:val="20"/>
        </w:rPr>
        <w:t>conceptualice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y llev</w:t>
      </w:r>
      <w:r w:rsidR="00D31E54">
        <w:rPr>
          <w:rFonts w:ascii="Book Antiqua" w:eastAsia="Times New Roman" w:hAnsi="Book Antiqua" w:cs="Times New Roman"/>
          <w:sz w:val="24"/>
          <w:szCs w:val="20"/>
        </w:rPr>
        <w:t>e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a cabo </w:t>
      </w:r>
      <w:r>
        <w:rPr>
          <w:rFonts w:ascii="Book Antiqua" w:eastAsia="Times New Roman" w:hAnsi="Book Antiqua" w:cs="Times New Roman"/>
          <w:sz w:val="24"/>
          <w:szCs w:val="20"/>
        </w:rPr>
        <w:lastRenderedPageBreak/>
        <w:t>un estudio de viabilidad sobre las posibles maneras en las que se pueda mitigar la vulnerabilidad que sufre la Carretera PR-187</w:t>
      </w:r>
      <w:r w:rsidR="00D31E54">
        <w:rPr>
          <w:rFonts w:ascii="Book Antiqua" w:eastAsia="Times New Roman" w:hAnsi="Book Antiqua" w:cs="Times New Roman"/>
          <w:sz w:val="24"/>
          <w:szCs w:val="20"/>
        </w:rPr>
        <w:t xml:space="preserve"> o de mover </w:t>
      </w:r>
      <w:r w:rsidR="00D31E54" w:rsidRPr="00D31E54">
        <w:rPr>
          <w:rFonts w:ascii="Book Antiqua" w:eastAsia="Times New Roman" w:hAnsi="Book Antiqua" w:cs="Times New Roman"/>
          <w:sz w:val="24"/>
          <w:szCs w:val="20"/>
        </w:rPr>
        <w:t>esta carretera hacia el sur en todos los tramos que esto sea posible</w:t>
      </w:r>
      <w:r w:rsidR="00D31E54"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13B15D24" w14:textId="77777777" w:rsidR="002507B4" w:rsidRDefault="002507B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3393F29C" w14:textId="53632F11" w:rsidR="002507B4" w:rsidRPr="00782657" w:rsidRDefault="00D31E5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Se necesita que el DTOP tome este asunto como prioridad. 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Es por esto </w:t>
      </w:r>
      <w:proofErr w:type="gramStart"/>
      <w:r w:rsidR="002507B4">
        <w:rPr>
          <w:rFonts w:ascii="Book Antiqua" w:eastAsia="Times New Roman" w:hAnsi="Book Antiqua" w:cs="Times New Roman"/>
          <w:sz w:val="24"/>
          <w:szCs w:val="20"/>
        </w:rPr>
        <w:t>que</w:t>
      </w:r>
      <w:proofErr w:type="gramEnd"/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 la Cámara de Representantes del Estado Libre Asociado de Puerto Rico entiende meritorio ordenar</w:t>
      </w:r>
      <w:r>
        <w:rPr>
          <w:rFonts w:ascii="Book Antiqua" w:eastAsia="Times New Roman" w:hAnsi="Book Antiqua" w:cs="Times New Roman"/>
          <w:sz w:val="24"/>
          <w:szCs w:val="20"/>
        </w:rPr>
        <w:t>le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 a</w:t>
      </w:r>
      <w:r>
        <w:rPr>
          <w:rFonts w:ascii="Book Antiqua" w:eastAsia="Times New Roman" w:hAnsi="Book Antiqua" w:cs="Times New Roman"/>
          <w:sz w:val="24"/>
          <w:szCs w:val="20"/>
        </w:rPr>
        <w:t>l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DTOP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, realizar una investigación exhaustiva </w:t>
      </w:r>
      <w:r w:rsidR="006A2625">
        <w:rPr>
          <w:rFonts w:ascii="Book Antiqua" w:eastAsia="Times New Roman" w:hAnsi="Book Antiqua" w:cs="Times New Roman"/>
          <w:sz w:val="24"/>
          <w:szCs w:val="20"/>
        </w:rPr>
        <w:t>para encontrar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las posibles maneras para mitigar la vulnerabilidad que enfrenta la Carretera PR-187 a causa de las marejadas y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otros fenómenos meteorológicos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y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la posibilidad de mover esta carretera hacia el sur de su actual localización en los tramos en que sea posible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.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 esto depende la calidad de vida </w:t>
      </w:r>
      <w:r w:rsidRPr="00D31E54">
        <w:rPr>
          <w:rFonts w:ascii="Book Antiqua" w:eastAsia="Times New Roman" w:hAnsi="Book Antiqua" w:cs="Times New Roman"/>
          <w:sz w:val="24"/>
          <w:szCs w:val="20"/>
        </w:rPr>
        <w:t>que todos los usuarios de esta carretera ya que se necesita mantener abiertas las comunicaciones terrestres de Loíza en todo momento</w:t>
      </w:r>
      <w:r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4DCF2AE1" w14:textId="77777777" w:rsidR="002507B4" w:rsidRPr="00782657" w:rsidRDefault="002507B4" w:rsidP="002507B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  <w:lang w:val="es-ES_tradnl"/>
        </w:rPr>
      </w:pPr>
    </w:p>
    <w:p w14:paraId="1FACDC45" w14:textId="4320FB21" w:rsidR="002507B4" w:rsidRPr="00782657" w:rsidRDefault="002507B4" w:rsidP="002507B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RESUÉLVASE</w:t>
      </w:r>
      <w:r w:rsidRPr="00782657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 xml:space="preserve"> POR LA </w:t>
      </w:r>
      <w:r w:rsidR="00102D23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ASAMBLEA LEGISLATIVA</w:t>
      </w:r>
      <w:r w:rsidRPr="00782657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 xml:space="preserve"> DE PUERTO RICO:</w:t>
      </w:r>
    </w:p>
    <w:p w14:paraId="458B1770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040EEB66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  <w:sectPr w:rsidR="002507B4" w:rsidRPr="00782657" w:rsidSect="0078265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4B695503" w14:textId="1892D73B" w:rsidR="002507B4" w:rsidRPr="00782657" w:rsidRDefault="002507B4" w:rsidP="002507B4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i/>
          <w:iCs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Sección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1.-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Se </w:t>
      </w:r>
      <w:r w:rsidRPr="00EA36B2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le ordena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al</w:t>
      </w:r>
      <w:r w:rsidR="0067479E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8C2AF5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del Estado Libre Asociado de Puerto Rico, realizar una investigación abarcadora y continua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sobre las posibles maneras para mitigar la vulnerabilidad que enfrenta la Carretera PR-187 a causa de las marejadas y otros fenómenos meteorológicos; sobre la posibilidad de mover esta carretera hacia el sur de su actual localización en los tramos en que sea posible; y para otros fines relacionados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entre otros asuntos</w:t>
      </w:r>
      <w:r w:rsidRPr="003C4AB0">
        <w:rPr>
          <w:rFonts w:ascii="Book Antiqua" w:eastAsia="Times New Roman" w:hAnsi="Book Antiqua" w:cs="Times New Roman"/>
          <w:i/>
          <w:iCs/>
          <w:sz w:val="24"/>
          <w:szCs w:val="20"/>
        </w:rPr>
        <w:t>.</w:t>
      </w:r>
    </w:p>
    <w:p w14:paraId="22EF2D55" w14:textId="1B6B16FB" w:rsidR="002507B4" w:rsidRDefault="002507B4" w:rsidP="002507B4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bookmarkStart w:id="2" w:name="_Hlk131079044"/>
      <w:r>
        <w:rPr>
          <w:rFonts w:ascii="Book Antiqua" w:eastAsia="Times New Roman" w:hAnsi="Book Antiqua" w:cs="Times New Roman"/>
          <w:sz w:val="24"/>
          <w:szCs w:val="20"/>
        </w:rPr>
        <w:t xml:space="preserve">Sección 2.-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El </w:t>
      </w:r>
      <w:r w:rsidR="006F02A8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rendirá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un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informe de acuerdo con sus hallazgos, conclusiones y recomendaciones.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Dicho informe será presentado en la secretaría de ambos cuerpos legislativos dentro de un término de </w:t>
      </w:r>
      <w:r w:rsidR="006B56C1">
        <w:rPr>
          <w:rFonts w:ascii="Book Antiqua" w:eastAsia="Times New Roman" w:hAnsi="Book Antiqua" w:cs="Times New Roman"/>
          <w:sz w:val="24"/>
          <w:szCs w:val="20"/>
        </w:rPr>
        <w:t>noventa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 (</w:t>
      </w:r>
      <w:r w:rsidR="006B56C1">
        <w:rPr>
          <w:rFonts w:ascii="Book Antiqua" w:eastAsia="Times New Roman" w:hAnsi="Book Antiqua" w:cs="Times New Roman"/>
          <w:sz w:val="24"/>
          <w:szCs w:val="20"/>
        </w:rPr>
        <w:t>9</w:t>
      </w:r>
      <w:r w:rsidR="0067479E">
        <w:rPr>
          <w:rFonts w:ascii="Book Antiqua" w:eastAsia="Times New Roman" w:hAnsi="Book Antiqua" w:cs="Times New Roman"/>
          <w:sz w:val="24"/>
          <w:szCs w:val="20"/>
        </w:rPr>
        <w:t>0) días luego de entrada en vigor esta Resolución</w:t>
      </w:r>
      <w:r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07E5C67D" w14:textId="712BF876" w:rsidR="00633A84" w:rsidRPr="006A2625" w:rsidRDefault="002507B4" w:rsidP="006A2625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Sección 3.- 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Esta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Resolución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7479E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Conjunta 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comenzará a regir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inmediatamente después de su aprobación.</w:t>
      </w:r>
      <w:bookmarkEnd w:id="2"/>
    </w:p>
    <w:sectPr w:rsidR="00633A84" w:rsidRPr="006A2625" w:rsidSect="004C6B1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333" w14:textId="77777777" w:rsidR="00D133A1" w:rsidRDefault="00D5083C">
      <w:pPr>
        <w:spacing w:after="0" w:line="240" w:lineRule="auto"/>
      </w:pPr>
      <w:r>
        <w:separator/>
      </w:r>
    </w:p>
  </w:endnote>
  <w:endnote w:type="continuationSeparator" w:id="0">
    <w:p w14:paraId="6B74FA4E" w14:textId="77777777" w:rsidR="00D133A1" w:rsidRDefault="00D5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694" w14:textId="77777777" w:rsidR="00D133A1" w:rsidRDefault="00D5083C">
      <w:pPr>
        <w:spacing w:after="0" w:line="240" w:lineRule="auto"/>
      </w:pPr>
      <w:r>
        <w:separator/>
      </w:r>
    </w:p>
  </w:footnote>
  <w:footnote w:type="continuationSeparator" w:id="0">
    <w:p w14:paraId="1F3B11E1" w14:textId="77777777" w:rsidR="00D133A1" w:rsidRDefault="00D5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039D" w14:textId="77777777" w:rsidR="00F042CB" w:rsidRDefault="006B56C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4"/>
    <w:rsid w:val="00102D23"/>
    <w:rsid w:val="00220389"/>
    <w:rsid w:val="002507B4"/>
    <w:rsid w:val="002D7001"/>
    <w:rsid w:val="003C5E13"/>
    <w:rsid w:val="0047521D"/>
    <w:rsid w:val="0053644E"/>
    <w:rsid w:val="005E3326"/>
    <w:rsid w:val="00633A84"/>
    <w:rsid w:val="0067479E"/>
    <w:rsid w:val="006A2625"/>
    <w:rsid w:val="006B56C1"/>
    <w:rsid w:val="006D2F06"/>
    <w:rsid w:val="006F02A8"/>
    <w:rsid w:val="008C2AF5"/>
    <w:rsid w:val="00993B12"/>
    <w:rsid w:val="009E1DE8"/>
    <w:rsid w:val="00D133A1"/>
    <w:rsid w:val="00D31E54"/>
    <w:rsid w:val="00D35F2A"/>
    <w:rsid w:val="00D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D44D"/>
  <w15:chartTrackingRefBased/>
  <w15:docId w15:val="{2347298A-709E-4C5B-8BE0-26C7663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B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7B4"/>
    <w:rPr>
      <w:lang w:val="es-PR"/>
    </w:rPr>
  </w:style>
  <w:style w:type="character" w:styleId="PageNumber">
    <w:name w:val="page number"/>
    <w:basedOn w:val="DefaultParagraphFont"/>
    <w:rsid w:val="002507B4"/>
  </w:style>
  <w:style w:type="character" w:styleId="LineNumber">
    <w:name w:val="line number"/>
    <w:basedOn w:val="DefaultParagraphFont"/>
    <w:uiPriority w:val="99"/>
    <w:semiHidden/>
    <w:unhideWhenUsed/>
    <w:rsid w:val="002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F4834-307E-4239-9BC4-F5F8899F5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E9B8C-2FC5-458E-8BAE-1A8FEC7CB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 Louzau Pastrana</dc:creator>
  <cp:keywords/>
  <dc:description/>
  <cp:lastModifiedBy>Gladys J. Burgos Torres</cp:lastModifiedBy>
  <cp:revision>4</cp:revision>
  <cp:lastPrinted>2023-04-14T17:39:00Z</cp:lastPrinted>
  <dcterms:created xsi:type="dcterms:W3CDTF">2023-04-14T21:12:00Z</dcterms:created>
  <dcterms:modified xsi:type="dcterms:W3CDTF">2023-06-23T01:39:00Z</dcterms:modified>
</cp:coreProperties>
</file>