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EF0C" w14:textId="77777777" w:rsidR="00127396" w:rsidRPr="00127396" w:rsidRDefault="00127396" w:rsidP="00127396">
      <w:pPr>
        <w:suppressLineNumbers/>
        <w:tabs>
          <w:tab w:val="center" w:pos="4680"/>
        </w:tabs>
        <w:jc w:val="center"/>
        <w:rPr>
          <w:rFonts w:ascii="Book Antiqua" w:hAnsi="Book Antiqua"/>
          <w:b/>
          <w:bCs/>
          <w:szCs w:val="24"/>
          <w:lang w:val="es-PR"/>
        </w:rPr>
      </w:pPr>
      <w:r w:rsidRPr="00127396">
        <w:rPr>
          <w:rFonts w:ascii="Book Antiqua" w:hAnsi="Book Antiqua"/>
          <w:b/>
          <w:bCs/>
          <w:szCs w:val="24"/>
          <w:lang w:val="es-PR"/>
        </w:rPr>
        <w:t>(TEXTO DE APROBACION FINAL POR LA CAMARA)</w:t>
      </w:r>
      <w:r w:rsidRPr="00127396">
        <w:rPr>
          <w:rFonts w:ascii="Book Antiqua" w:hAnsi="Book Antiqua"/>
          <w:b/>
          <w:bCs/>
          <w:szCs w:val="24"/>
          <w:lang w:val="es-PR"/>
        </w:rPr>
        <w:fldChar w:fldCharType="begin"/>
      </w:r>
      <w:r w:rsidRPr="00127396">
        <w:rPr>
          <w:rFonts w:ascii="Book Antiqua" w:hAnsi="Book Antiqua"/>
          <w:b/>
          <w:bCs/>
          <w:szCs w:val="24"/>
          <w:lang w:val="es-PR"/>
        </w:rPr>
        <w:instrText xml:space="preserve">PRIVATE </w:instrText>
      </w:r>
      <w:r w:rsidRPr="00127396">
        <w:rPr>
          <w:rFonts w:ascii="Book Antiqua" w:hAnsi="Book Antiqua"/>
          <w:b/>
          <w:bCs/>
          <w:szCs w:val="24"/>
          <w:lang w:val="es-PR"/>
        </w:rPr>
        <w:fldChar w:fldCharType="end"/>
      </w:r>
    </w:p>
    <w:p w14:paraId="5C1F6677" w14:textId="79A19A0E" w:rsidR="00127396" w:rsidRPr="00127396" w:rsidRDefault="00127396" w:rsidP="00127396">
      <w:pPr>
        <w:suppressLineNumbers/>
        <w:tabs>
          <w:tab w:val="center" w:pos="4680"/>
        </w:tabs>
        <w:jc w:val="center"/>
        <w:rPr>
          <w:rFonts w:ascii="Book Antiqua" w:hAnsi="Book Antiqua"/>
          <w:b/>
          <w:bCs/>
          <w:szCs w:val="24"/>
          <w:lang w:val="es-PR"/>
        </w:rPr>
      </w:pPr>
      <w:r w:rsidRPr="00127396">
        <w:rPr>
          <w:rFonts w:ascii="Book Antiqua" w:hAnsi="Book Antiqua"/>
          <w:b/>
          <w:bCs/>
          <w:szCs w:val="24"/>
          <w:lang w:val="es-PR"/>
        </w:rPr>
        <w:t>(</w:t>
      </w:r>
      <w:r w:rsidR="00581736">
        <w:rPr>
          <w:rFonts w:ascii="Book Antiqua" w:hAnsi="Book Antiqua"/>
          <w:b/>
          <w:bCs/>
          <w:szCs w:val="24"/>
          <w:lang w:val="es-PR"/>
        </w:rPr>
        <w:t>2</w:t>
      </w:r>
      <w:r w:rsidRPr="00127396">
        <w:rPr>
          <w:rFonts w:ascii="Book Antiqua" w:hAnsi="Book Antiqua"/>
          <w:b/>
          <w:bCs/>
          <w:szCs w:val="24"/>
          <w:lang w:val="es-PR"/>
        </w:rPr>
        <w:t xml:space="preserve"> DE </w:t>
      </w:r>
      <w:r w:rsidR="00581736">
        <w:rPr>
          <w:rFonts w:ascii="Book Antiqua" w:hAnsi="Book Antiqua"/>
          <w:b/>
          <w:bCs/>
          <w:szCs w:val="24"/>
          <w:lang w:val="es-PR"/>
        </w:rPr>
        <w:t>ABRIL</w:t>
      </w:r>
      <w:r w:rsidRPr="00127396">
        <w:rPr>
          <w:rFonts w:ascii="Book Antiqua" w:hAnsi="Book Antiqua"/>
          <w:b/>
          <w:bCs/>
          <w:szCs w:val="24"/>
          <w:lang w:val="es-PR"/>
        </w:rPr>
        <w:t xml:space="preserve"> DE 2024)</w:t>
      </w:r>
    </w:p>
    <w:p w14:paraId="3BAACB88" w14:textId="77777777" w:rsidR="00127396" w:rsidRPr="00127396" w:rsidRDefault="00127396" w:rsidP="00127396">
      <w:pPr>
        <w:suppressLineNumbers/>
        <w:tabs>
          <w:tab w:val="center" w:pos="4680"/>
        </w:tabs>
        <w:jc w:val="center"/>
        <w:rPr>
          <w:rFonts w:ascii="Book Antiqua" w:hAnsi="Book Antiqua"/>
          <w:b/>
          <w:szCs w:val="24"/>
          <w:lang w:val="es-ES_tradnl"/>
        </w:rPr>
      </w:pPr>
      <w:r w:rsidRPr="0012739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4EF441" wp14:editId="49FD1E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35142975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B723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xZ5gEAALQ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" o:allowincell="f" fillcolor="black" stroked="f">
                <w10:wrap anchorx="margin"/>
              </v:rect>
            </w:pict>
          </mc:Fallback>
        </mc:AlternateContent>
      </w:r>
    </w:p>
    <w:p w14:paraId="7DD6B229" w14:textId="4CFFD04C" w:rsidR="00FF6BD2" w:rsidRDefault="000A57C7" w:rsidP="00873DF3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</w:t>
      </w:r>
      <w:r w:rsidR="00D96266">
        <w:rPr>
          <w:rFonts w:ascii="Book Antiqua" w:hAnsi="Book Antiqua"/>
          <w:sz w:val="28"/>
          <w:lang w:val="es-ES_tradnl"/>
        </w:rPr>
        <w:t xml:space="preserve"> DE PUERTO RICO</w:t>
      </w:r>
    </w:p>
    <w:p w14:paraId="307DCEF3" w14:textId="77777777" w:rsidR="00D96266" w:rsidRPr="00873DF3" w:rsidRDefault="00D96266" w:rsidP="00873DF3">
      <w:pPr>
        <w:jc w:val="center"/>
        <w:rPr>
          <w:rFonts w:ascii="Book Antiqua" w:hAnsi="Book Antiqua"/>
          <w:lang w:val="es-ES_tradnl"/>
        </w:rPr>
      </w:pPr>
    </w:p>
    <w:p w14:paraId="65790416" w14:textId="549521BD" w:rsidR="00D96266" w:rsidRDefault="00374B44" w:rsidP="00873DF3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</w:t>
      </w:r>
      <w:r w:rsidR="00873DF3">
        <w:rPr>
          <w:rFonts w:ascii="Book Antiqua" w:hAnsi="Book Antiqua"/>
          <w:lang w:val="es-ES_tradnl"/>
        </w:rPr>
        <w:t xml:space="preserve">a. </w:t>
      </w:r>
      <w:r>
        <w:rPr>
          <w:rFonts w:ascii="Book Antiqua" w:hAnsi="Book Antiqua"/>
          <w:lang w:val="es-ES_tradnl"/>
        </w:rPr>
        <w:t>Asamblea</w:t>
      </w:r>
      <w:r>
        <w:rPr>
          <w:rFonts w:ascii="Book Antiqua" w:hAnsi="Book Antiqua"/>
          <w:lang w:val="es-ES_tradnl"/>
        </w:rPr>
        <w:tab/>
      </w:r>
      <w:r w:rsidR="000F1C90">
        <w:rPr>
          <w:rFonts w:ascii="Book Antiqua" w:hAnsi="Book Antiqua"/>
          <w:lang w:val="es-ES_tradnl"/>
        </w:rPr>
        <w:t>6t</w:t>
      </w:r>
      <w:r w:rsidR="00873DF3">
        <w:rPr>
          <w:rFonts w:ascii="Book Antiqua" w:hAnsi="Book Antiqua"/>
          <w:lang w:val="es-ES_tradnl"/>
        </w:rPr>
        <w:t xml:space="preserve">a. </w:t>
      </w:r>
      <w:r w:rsidR="00D96266">
        <w:rPr>
          <w:rFonts w:ascii="Book Antiqua" w:hAnsi="Book Antiqua"/>
          <w:lang w:val="es-ES_tradnl"/>
        </w:rPr>
        <w:t>Sesión</w:t>
      </w:r>
    </w:p>
    <w:p w14:paraId="6E9EA897" w14:textId="77777777" w:rsidR="00D96266" w:rsidRDefault="00D96266" w:rsidP="00873DF3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873DF3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14:paraId="57B69893" w14:textId="77777777" w:rsidR="00D96266" w:rsidRDefault="00D96266" w:rsidP="00873DF3">
      <w:pPr>
        <w:rPr>
          <w:lang w:val="es-ES_tradnl"/>
        </w:rPr>
      </w:pPr>
    </w:p>
    <w:p w14:paraId="130812A7" w14:textId="77777777" w:rsidR="00D96266" w:rsidRDefault="00D96266" w:rsidP="00873DF3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37C03C94" w14:textId="77777777" w:rsidR="00D96266" w:rsidRPr="00873DF3" w:rsidRDefault="00D96266" w:rsidP="00873DF3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4E0BE2C" w14:textId="07C83039" w:rsidR="00D96266" w:rsidRDefault="00D42863" w:rsidP="00873DF3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D72E76">
        <w:rPr>
          <w:rFonts w:ascii="Book Antiqua" w:hAnsi="Book Antiqua"/>
          <w:b/>
          <w:sz w:val="52"/>
          <w:lang w:val="es-ES_tradnl"/>
        </w:rPr>
        <w:t>1825</w:t>
      </w:r>
    </w:p>
    <w:p w14:paraId="1CEC97F8" w14:textId="77777777" w:rsidR="00873DF3" w:rsidRPr="00873DF3" w:rsidRDefault="00873DF3" w:rsidP="00873DF3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3B8ED3D8" w14:textId="5032B788" w:rsidR="00D96266" w:rsidRDefault="00D72E76" w:rsidP="00873DF3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22</w:t>
      </w:r>
      <w:r w:rsidR="00DC7916">
        <w:rPr>
          <w:rFonts w:ascii="Book Antiqua" w:hAnsi="Book Antiqua"/>
          <w:lang w:val="es-ES_tradnl"/>
        </w:rPr>
        <w:t xml:space="preserve"> </w:t>
      </w:r>
      <w:r w:rsidR="00D96266">
        <w:rPr>
          <w:rFonts w:ascii="Book Antiqua" w:hAnsi="Book Antiqua"/>
          <w:lang w:val="es-ES_tradnl"/>
        </w:rPr>
        <w:t xml:space="preserve">DE </w:t>
      </w:r>
      <w:r w:rsidR="000F1C90">
        <w:rPr>
          <w:rFonts w:ascii="Book Antiqua" w:hAnsi="Book Antiqua"/>
          <w:lang w:val="es-ES_tradnl"/>
        </w:rPr>
        <w:t>AGOSTO</w:t>
      </w:r>
      <w:r w:rsidR="00D96266">
        <w:rPr>
          <w:rFonts w:ascii="Book Antiqua" w:hAnsi="Book Antiqua"/>
          <w:lang w:val="es-ES_tradnl"/>
        </w:rPr>
        <w:t xml:space="preserve"> DE </w:t>
      </w:r>
      <w:r w:rsidR="00374B44">
        <w:rPr>
          <w:rFonts w:ascii="Book Antiqua" w:hAnsi="Book Antiqua"/>
          <w:lang w:val="es-ES_tradnl"/>
        </w:rPr>
        <w:t>202</w:t>
      </w:r>
      <w:r w:rsidR="000F1C90">
        <w:rPr>
          <w:rFonts w:ascii="Book Antiqua" w:hAnsi="Book Antiqua"/>
          <w:lang w:val="es-ES_tradnl"/>
        </w:rPr>
        <w:t>3</w:t>
      </w:r>
    </w:p>
    <w:p w14:paraId="7161DBA2" w14:textId="77777777" w:rsidR="00873DF3" w:rsidRDefault="00873DF3" w:rsidP="00873DF3">
      <w:pPr>
        <w:jc w:val="center"/>
        <w:rPr>
          <w:rFonts w:ascii="Book Antiqua" w:hAnsi="Book Antiqua"/>
          <w:lang w:val="es-ES_tradnl"/>
        </w:rPr>
      </w:pPr>
    </w:p>
    <w:p w14:paraId="6BC504B0" w14:textId="21F55AA2" w:rsidR="002E1575" w:rsidRDefault="00D96266" w:rsidP="002E1575">
      <w:pPr>
        <w:spacing w:line="360" w:lineRule="auto"/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</w:t>
      </w:r>
      <w:r w:rsidR="00E805B0">
        <w:rPr>
          <w:rFonts w:ascii="Book Antiqua" w:hAnsi="Book Antiqua"/>
          <w:lang w:val="es-ES_tradnl"/>
        </w:rPr>
        <w:t>l</w:t>
      </w:r>
      <w:r w:rsidR="00A56C8B">
        <w:rPr>
          <w:rFonts w:ascii="Book Antiqua" w:hAnsi="Book Antiqua"/>
          <w:lang w:val="es-ES_tradnl"/>
        </w:rPr>
        <w:t xml:space="preserve">a </w:t>
      </w:r>
      <w:r>
        <w:rPr>
          <w:rFonts w:ascii="Book Antiqua" w:hAnsi="Book Antiqua"/>
          <w:lang w:val="es-ES_tradnl"/>
        </w:rPr>
        <w:t xml:space="preserve">representante </w:t>
      </w:r>
      <w:r w:rsidR="000F1C90">
        <w:rPr>
          <w:rFonts w:ascii="Book Antiqua" w:hAnsi="Book Antiqua"/>
          <w:i/>
          <w:lang w:val="es-ES_tradnl"/>
        </w:rPr>
        <w:t xml:space="preserve">Soto Arroyo </w:t>
      </w:r>
    </w:p>
    <w:p w14:paraId="70A98675" w14:textId="32981930" w:rsidR="000E5104" w:rsidRPr="002E1575" w:rsidRDefault="000E5104" w:rsidP="000E5104">
      <w:pPr>
        <w:spacing w:line="360" w:lineRule="auto"/>
        <w:jc w:val="center"/>
        <w:rPr>
          <w:rFonts w:ascii="Book Antiqua" w:hAnsi="Book Antiqua"/>
          <w:i/>
          <w:lang w:val="es-ES_tradnl"/>
        </w:rPr>
      </w:pPr>
      <w:r w:rsidRPr="000E5104">
        <w:rPr>
          <w:rFonts w:ascii="Book Antiqua" w:hAnsi="Book Antiqua"/>
          <w:iCs/>
          <w:lang w:val="es-ES_tradnl"/>
        </w:rPr>
        <w:t>y suscrito por la representante</w:t>
      </w:r>
      <w:r>
        <w:rPr>
          <w:rFonts w:ascii="Book Antiqua" w:hAnsi="Book Antiqua"/>
          <w:i/>
          <w:lang w:val="es-ES_tradnl"/>
        </w:rPr>
        <w:t xml:space="preserve"> Nogales Molinelli </w:t>
      </w:r>
      <w:r w:rsidRPr="000E5104">
        <w:rPr>
          <w:rFonts w:ascii="Book Antiqua" w:hAnsi="Book Antiqua"/>
          <w:iCs/>
          <w:lang w:val="es-ES_tradnl"/>
        </w:rPr>
        <w:t>y el representante</w:t>
      </w:r>
      <w:r>
        <w:rPr>
          <w:rFonts w:ascii="Book Antiqua" w:hAnsi="Book Antiqua"/>
          <w:i/>
          <w:lang w:val="es-ES_tradnl"/>
        </w:rPr>
        <w:t xml:space="preserve"> Torres Zamora </w:t>
      </w:r>
    </w:p>
    <w:p w14:paraId="2900F056" w14:textId="4A8BAEFD" w:rsidR="005F3C5C" w:rsidRDefault="00DF12F5" w:rsidP="002E1575">
      <w:pPr>
        <w:spacing w:line="360" w:lineRule="auto"/>
        <w:jc w:val="center"/>
        <w:rPr>
          <w:rFonts w:ascii="Book Antiqua" w:hAnsi="Book Antiqua"/>
          <w:i/>
          <w:iCs/>
          <w:lang w:val="es-ES_tradnl"/>
        </w:rPr>
      </w:pPr>
      <w:r w:rsidRPr="002E1575">
        <w:rPr>
          <w:rFonts w:ascii="Book Antiqua" w:hAnsi="Book Antiqua"/>
          <w:i/>
          <w:iCs/>
          <w:lang w:val="es-ES_tradnl"/>
        </w:rPr>
        <w:t>(</w:t>
      </w:r>
      <w:r w:rsidR="005F3C5C" w:rsidRPr="002E1575">
        <w:rPr>
          <w:rFonts w:ascii="Book Antiqua" w:hAnsi="Book Antiqua"/>
          <w:i/>
          <w:iCs/>
          <w:lang w:val="es-ES_tradnl"/>
        </w:rPr>
        <w:t>Por petición de</w:t>
      </w:r>
      <w:r w:rsidR="000F1C90" w:rsidRPr="002E1575">
        <w:rPr>
          <w:rFonts w:ascii="Book Antiqua" w:hAnsi="Book Antiqua"/>
          <w:i/>
          <w:iCs/>
          <w:lang w:val="es-ES_tradnl"/>
        </w:rPr>
        <w:t xml:space="preserve"> la Asociación de Estudiantes de Mercadeo D.E.C.A)</w:t>
      </w:r>
    </w:p>
    <w:p w14:paraId="116A08F1" w14:textId="77777777" w:rsidR="000E5104" w:rsidRPr="002E1575" w:rsidRDefault="000E5104" w:rsidP="002E1575">
      <w:pPr>
        <w:spacing w:line="360" w:lineRule="auto"/>
        <w:jc w:val="center"/>
        <w:rPr>
          <w:rFonts w:ascii="Book Antiqua" w:hAnsi="Book Antiqua"/>
          <w:i/>
          <w:iCs/>
          <w:lang w:val="es-ES_tradnl"/>
        </w:rPr>
      </w:pPr>
    </w:p>
    <w:p w14:paraId="34F19801" w14:textId="48C9CBDF" w:rsidR="00D96266" w:rsidRDefault="003B5CEC" w:rsidP="00873DF3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C86015">
        <w:rPr>
          <w:rFonts w:ascii="Book Antiqua" w:hAnsi="Book Antiqua"/>
          <w:lang w:val="es-ES_tradnl"/>
        </w:rPr>
        <w:t>la Comisión de Educación, Arte y Cultura</w:t>
      </w:r>
    </w:p>
    <w:p w14:paraId="336136EE" w14:textId="77777777" w:rsidR="00D96266" w:rsidRDefault="00D96266" w:rsidP="00873DF3">
      <w:pPr>
        <w:jc w:val="both"/>
        <w:rPr>
          <w:rFonts w:ascii="Book Antiqua" w:hAnsi="Book Antiqua"/>
          <w:lang w:val="es-ES_tradnl"/>
        </w:rPr>
      </w:pPr>
    </w:p>
    <w:p w14:paraId="6630E248" w14:textId="4E2992AC" w:rsidR="00DF635C" w:rsidRPr="00DF635C" w:rsidRDefault="00D96266" w:rsidP="002E1575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</w:t>
      </w:r>
      <w:r w:rsidR="002E1575">
        <w:rPr>
          <w:rFonts w:ascii="Book Antiqua" w:hAnsi="Book Antiqua"/>
          <w:b/>
          <w:sz w:val="28"/>
          <w:lang w:val="es-ES_tradnl"/>
        </w:rPr>
        <w:t>Y</w:t>
      </w:r>
    </w:p>
    <w:p w14:paraId="55C6A12B" w14:textId="34EDC465" w:rsidR="00D96266" w:rsidRPr="00D96266" w:rsidRDefault="00D96266" w:rsidP="002E1575">
      <w:pPr>
        <w:ind w:left="720" w:hanging="720"/>
        <w:jc w:val="both"/>
        <w:rPr>
          <w:rStyle w:val="PageNumber"/>
          <w:rFonts w:ascii="Book Antiqua" w:eastAsia="Book Antiqua" w:hAnsi="Book Antiqua" w:cs="Book Antiqua"/>
          <w:szCs w:val="24"/>
          <w:lang w:val="es-PR"/>
        </w:rPr>
      </w:pPr>
      <w:r>
        <w:rPr>
          <w:rFonts w:ascii="Book Antiqua" w:hAnsi="Book Antiqua"/>
          <w:lang w:val="es-ES_tradnl"/>
        </w:rPr>
        <w:t xml:space="preserve">Para </w:t>
      </w:r>
      <w:r w:rsidRPr="00D96266">
        <w:rPr>
          <w:rStyle w:val="PageNumber"/>
          <w:rFonts w:ascii="Book Antiqua" w:hAnsi="Book Antiqua"/>
          <w:szCs w:val="24"/>
          <w:lang w:val="es-PR"/>
        </w:rPr>
        <w:t xml:space="preserve">decretar en Puerto Rico, </w:t>
      </w:r>
      <w:r w:rsidR="000F1C90">
        <w:rPr>
          <w:rStyle w:val="PageNumber"/>
          <w:rFonts w:ascii="Book Antiqua" w:hAnsi="Book Antiqua"/>
          <w:szCs w:val="24"/>
          <w:lang w:val="es-PR"/>
        </w:rPr>
        <w:t>el día 15 de noviembre de cada año como el “Día Nacional de DECA</w:t>
      </w:r>
      <w:r w:rsidR="00CA26B8">
        <w:rPr>
          <w:rStyle w:val="PageNumber"/>
          <w:rFonts w:ascii="Book Antiqua" w:hAnsi="Book Antiqua"/>
          <w:szCs w:val="24"/>
          <w:lang w:val="es-PR"/>
        </w:rPr>
        <w:t xml:space="preserve">” en Puerto Rico </w:t>
      </w:r>
      <w:r w:rsidR="00374B44">
        <w:rPr>
          <w:rStyle w:val="PageNumber"/>
          <w:rFonts w:ascii="Book Antiqua" w:hAnsi="Book Antiqua"/>
          <w:szCs w:val="24"/>
          <w:lang w:val="es-PR"/>
        </w:rPr>
        <w:t>con el propósito de</w:t>
      </w:r>
      <w:r w:rsidR="000F1C90">
        <w:rPr>
          <w:rStyle w:val="PageNumber"/>
          <w:rFonts w:ascii="Book Antiqua" w:hAnsi="Book Antiqua"/>
          <w:szCs w:val="24"/>
          <w:lang w:val="es-PR"/>
        </w:rPr>
        <w:t xml:space="preserve"> conmemorar y reconocer las aportaciones positivas que los estudiantes y egresados de esta Organización estudiantil han aportado a la vida cotidiana en nuestro país y del Sistema Público de Enseñanza</w:t>
      </w:r>
      <w:r w:rsidRPr="00D96266">
        <w:rPr>
          <w:rStyle w:val="PageNumber"/>
          <w:rFonts w:ascii="Book Antiqua" w:hAnsi="Book Antiqua"/>
          <w:szCs w:val="24"/>
          <w:lang w:val="es-PR"/>
        </w:rPr>
        <w:t>; y para otros fines relacionados.</w:t>
      </w:r>
    </w:p>
    <w:p w14:paraId="4021CFE1" w14:textId="77777777" w:rsidR="00D96266" w:rsidRPr="00D96266" w:rsidRDefault="00D96266" w:rsidP="00873DF3">
      <w:pPr>
        <w:ind w:left="360" w:hanging="360"/>
        <w:jc w:val="both"/>
        <w:rPr>
          <w:rFonts w:ascii="Book Antiqua" w:hAnsi="Book Antiqua"/>
          <w:lang w:val="es-PR"/>
        </w:rPr>
      </w:pPr>
    </w:p>
    <w:p w14:paraId="6C30BBBC" w14:textId="77777777" w:rsidR="00D96266" w:rsidRDefault="00D96266" w:rsidP="00873DF3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249F02B3" w14:textId="77777777" w:rsidR="00873DF3" w:rsidRDefault="00873DF3" w:rsidP="00873DF3">
      <w:pPr>
        <w:ind w:firstLine="360"/>
        <w:jc w:val="center"/>
        <w:rPr>
          <w:rFonts w:ascii="Book Antiqua" w:hAnsi="Book Antiqua"/>
          <w:lang w:val="es-ES_tradnl"/>
        </w:rPr>
      </w:pPr>
    </w:p>
    <w:p w14:paraId="1546F8BF" w14:textId="231920AE" w:rsidR="00671BF9" w:rsidRPr="00A56C8B" w:rsidRDefault="00DF12F5" w:rsidP="00671BF9">
      <w:pPr>
        <w:shd w:val="clear" w:color="auto" w:fill="FAFAFA"/>
        <w:spacing w:before="45"/>
        <w:ind w:firstLine="360"/>
        <w:jc w:val="both"/>
        <w:rPr>
          <w:rFonts w:ascii="Arial" w:hAnsi="Arial" w:cs="Arial"/>
          <w:color w:val="797570"/>
          <w:sz w:val="27"/>
          <w:szCs w:val="27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 xml:space="preserve">Como es sabido, </w:t>
      </w:r>
      <w:r w:rsidR="006145E5">
        <w:rPr>
          <w:rFonts w:ascii="Book Antiqua" w:hAnsi="Book Antiqua"/>
          <w:shd w:val="clear" w:color="auto" w:fill="FFFFFF"/>
          <w:lang w:val="es-PR"/>
        </w:rPr>
        <w:t>en el año 1946 se instauró en Puerto Rico la Asociación de Estudiantes de Mercadeo, reconocida por su acrónimo como D.E.C.A (</w:t>
      </w:r>
      <w:r w:rsidR="006145E5" w:rsidRPr="006145E5">
        <w:rPr>
          <w:rFonts w:ascii="Book Antiqua" w:hAnsi="Book Antiqua"/>
          <w:i/>
          <w:iCs/>
          <w:shd w:val="clear" w:color="auto" w:fill="FFFFFF"/>
          <w:lang w:val="es-PR"/>
        </w:rPr>
        <w:t>Distribitive Education Clubs Of America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).  Esta organización estudiantil agrupa a los estudiantes que cursan educación en mercadeo dentro del nivel superior de nuestro Sistema Público de Enseñanza.  Entre sus principales propósitos se encuentra desarrollar y mejorar las habilidades de los estudiantes participantes en destrezas de administración, negocios, economía, empresarismo y mercadeo.  Además de esto, ofrece a sus participantes </w:t>
      </w:r>
      <w:r w:rsidR="008B7B7E">
        <w:rPr>
          <w:rFonts w:ascii="Book Antiqua" w:hAnsi="Book Antiqua"/>
          <w:shd w:val="clear" w:color="auto" w:fill="FFFFFF"/>
          <w:lang w:val="es-PR"/>
        </w:rPr>
        <w:t>el andamiaje pedagógico necesario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 para ampliar sus oportunidades profesionales, desarroll</w:t>
      </w:r>
      <w:r w:rsidR="008B7B7E">
        <w:rPr>
          <w:rFonts w:ascii="Book Antiqua" w:hAnsi="Book Antiqua"/>
          <w:shd w:val="clear" w:color="auto" w:fill="FFFFFF"/>
          <w:lang w:val="es-PR"/>
        </w:rPr>
        <w:t xml:space="preserve">ar su </w:t>
      </w:r>
      <w:r w:rsidR="006145E5">
        <w:rPr>
          <w:rFonts w:ascii="Book Antiqua" w:hAnsi="Book Antiqua"/>
          <w:shd w:val="clear" w:color="auto" w:fill="FFFFFF"/>
          <w:lang w:val="es-PR"/>
        </w:rPr>
        <w:t xml:space="preserve">liderazgo, conciencia cívica y autogestión. </w:t>
      </w:r>
      <w:r w:rsidR="008B7B7E">
        <w:rPr>
          <w:rFonts w:ascii="Book Antiqua" w:hAnsi="Book Antiqua"/>
          <w:shd w:val="clear" w:color="auto" w:fill="FFFFFF"/>
          <w:lang w:val="es-PR"/>
        </w:rPr>
        <w:t xml:space="preserve"> Todo ello, se logra mediante experiencias de trabajo en equipo, de manera individual y a través de actividades extracurriculares con </w:t>
      </w:r>
      <w:r w:rsidR="008B7B7E">
        <w:rPr>
          <w:rFonts w:ascii="Book Antiqua" w:hAnsi="Book Antiqua"/>
          <w:shd w:val="clear" w:color="auto" w:fill="FFFFFF"/>
          <w:lang w:val="es-PR"/>
        </w:rPr>
        <w:lastRenderedPageBreak/>
        <w:t xml:space="preserve">propósitos educativos. </w:t>
      </w:r>
      <w:r w:rsidR="00671BF9">
        <w:rPr>
          <w:rFonts w:ascii="Book Antiqua" w:hAnsi="Book Antiqua"/>
          <w:shd w:val="clear" w:color="auto" w:fill="FFFFFF"/>
          <w:lang w:val="es-PR"/>
        </w:rPr>
        <w:t xml:space="preserve">En la actualidad esta organización tiene presencia en las regiones educativas de San Juan, Bayamón, Arecibo, Ponce, Mayagüez, Caguas y Humacao. </w:t>
      </w:r>
    </w:p>
    <w:p w14:paraId="262ED7E8" w14:textId="5D1BABB4" w:rsidR="00AD5C79" w:rsidRDefault="00AD5C79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</w:p>
    <w:p w14:paraId="1471F721" w14:textId="19A31535" w:rsidR="003869B2" w:rsidRPr="003869B2" w:rsidRDefault="00671BF9" w:rsidP="003869B2">
      <w:pPr>
        <w:ind w:firstLine="720"/>
        <w:jc w:val="both"/>
        <w:rPr>
          <w:rFonts w:ascii="Book Antiqua" w:hAnsi="Book Antiqua"/>
          <w:shd w:val="clear" w:color="auto" w:fill="FFFFFF"/>
          <w:lang w:val="es-PR"/>
        </w:rPr>
      </w:pPr>
      <w:r w:rsidRPr="003869B2">
        <w:rPr>
          <w:rFonts w:ascii="Book Antiqua" w:hAnsi="Book Antiqua"/>
          <w:shd w:val="clear" w:color="auto" w:fill="FFFFFF"/>
          <w:lang w:val="es-PR"/>
        </w:rPr>
        <w:t>Por otro lado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>,</w:t>
      </w:r>
      <w:r w:rsidRPr="003869B2">
        <w:rPr>
          <w:rFonts w:ascii="Book Antiqua" w:hAnsi="Book Antiqua"/>
          <w:shd w:val="clear" w:color="auto" w:fill="FFFFFF"/>
          <w:lang w:val="es-PR"/>
        </w:rPr>
        <w:t xml:space="preserve"> es menester señalar que,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 la importancia que reviste </w:t>
      </w:r>
      <w:r w:rsidRPr="003869B2">
        <w:rPr>
          <w:rFonts w:ascii="Book Antiqua" w:hAnsi="Book Antiqua"/>
          <w:shd w:val="clear" w:color="auto" w:fill="FFFFFF"/>
          <w:lang w:val="es-PR"/>
        </w:rPr>
        <w:t xml:space="preserve">la presente 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intención </w:t>
      </w:r>
      <w:r w:rsidRPr="003869B2">
        <w:rPr>
          <w:rFonts w:ascii="Book Antiqua" w:hAnsi="Book Antiqua"/>
          <w:shd w:val="clear" w:color="auto" w:fill="FFFFFF"/>
          <w:lang w:val="es-PR"/>
        </w:rPr>
        <w:t>legislativa</w:t>
      </w:r>
      <w:r w:rsidR="00611B38" w:rsidRPr="003869B2">
        <w:rPr>
          <w:rFonts w:ascii="Book Antiqua" w:hAnsi="Book Antiqua"/>
          <w:shd w:val="clear" w:color="auto" w:fill="FFFFFF"/>
          <w:lang w:val="es-PR"/>
        </w:rPr>
        <w:t xml:space="preserve"> es avalar la educación vocacional como ese primer contacto que tiene el estudiantado en su sentido práctico con la elección de su carrera profesional a futuro. </w:t>
      </w:r>
      <w:r w:rsidR="003869B2" w:rsidRPr="003869B2">
        <w:rPr>
          <w:rFonts w:ascii="Book Antiqua" w:hAnsi="Book Antiqua"/>
          <w:shd w:val="clear" w:color="auto" w:fill="FFFFFF"/>
          <w:lang w:val="es-PR"/>
        </w:rPr>
        <w:t xml:space="preserve"> Esto cobra gran relevancia, ya que, </w:t>
      </w:r>
      <w:r w:rsidR="003869B2" w:rsidRPr="003869B2">
        <w:rPr>
          <w:rFonts w:ascii="Book Antiqua" w:eastAsia="Calibri" w:hAnsi="Book Antiqua" w:cs="Calibri"/>
          <w:szCs w:val="24"/>
          <w:lang w:val="es-419"/>
          <w14:ligatures w14:val="standardContextual"/>
        </w:rPr>
        <w:t xml:space="preserve">por décadas, el sector empresarial ha levantado su voz de alerta sobre la </w:t>
      </w:r>
      <w:r w:rsidR="003869B2" w:rsidRPr="003869B2">
        <w:rPr>
          <w:rFonts w:ascii="Book Antiqua" w:eastAsia="Calibri" w:hAnsi="Book Antiqua" w:cs="Calibri"/>
          <w:szCs w:val="24"/>
          <w:lang w:val="es-PR"/>
          <w14:ligatures w14:val="standardContextual"/>
        </w:rPr>
        <w:t>desconexión existente entre el sistema de enseñanza y las necesidades prevalecientes en el mercado laboral, lo que ha perpetuado la</w:t>
      </w:r>
      <w:r w:rsidR="003869B2" w:rsidRPr="003869B2">
        <w:rPr>
          <w:rFonts w:ascii="Book Antiqua" w:eastAsia="Calibri" w:hAnsi="Book Antiqua" w:cs="Calibri"/>
          <w:szCs w:val="24"/>
          <w:lang w:val="es-419"/>
          <w14:ligatures w14:val="standardContextual"/>
        </w:rPr>
        <w:t xml:space="preserve"> falta de recursos humanos aptos, preparados y disponibles para insertarse en la fuerza laboral. Este escenario se ha agudizado ante la emigración de puertorriqueños a otras jurisdicciones de los Estados Unidos u otros países, lo que ha provocado una escasez alarmante de ciudadanos que posean un nivel de enseñanza teórico, práctico y vanguardista, conforme a la demanda prevaleciente por patronos, emprendedores e industrias del siglo XXI.</w:t>
      </w:r>
    </w:p>
    <w:p w14:paraId="57875E13" w14:textId="77777777" w:rsidR="00671BF9" w:rsidRDefault="00671BF9" w:rsidP="003869B2">
      <w:pPr>
        <w:jc w:val="both"/>
        <w:rPr>
          <w:rFonts w:ascii="Book Antiqua" w:hAnsi="Book Antiqua"/>
          <w:shd w:val="clear" w:color="auto" w:fill="FFFFFF"/>
          <w:lang w:val="es-PR"/>
        </w:rPr>
      </w:pPr>
    </w:p>
    <w:p w14:paraId="337E4B86" w14:textId="56D1D206" w:rsidR="00CA26B8" w:rsidRDefault="00671BF9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>Asimismo</w:t>
      </w:r>
      <w:r w:rsidR="00611B38">
        <w:rPr>
          <w:rFonts w:ascii="Book Antiqua" w:hAnsi="Book Antiqua"/>
          <w:shd w:val="clear" w:color="auto" w:fill="FFFFFF"/>
          <w:lang w:val="es-PR"/>
        </w:rPr>
        <w:t xml:space="preserve">, a través de la promoción y reconocimiento sobre las aportaciones de los cursos ocupacionales del currículo educativo de Puerto Rico, se promueve la inclusión de estos cursos como ente esencial para fortalecer nuestra economía e inspirar a otros jóvenes estudiantes a particular en carreras relacionadas al mercado y a la autogestión empresarial. </w:t>
      </w:r>
    </w:p>
    <w:p w14:paraId="6E068FA8" w14:textId="77777777" w:rsidR="008B7B7E" w:rsidRDefault="008B7B7E" w:rsidP="00611B38">
      <w:pPr>
        <w:jc w:val="both"/>
        <w:rPr>
          <w:rFonts w:ascii="Book Antiqua" w:hAnsi="Book Antiqua"/>
          <w:shd w:val="clear" w:color="auto" w:fill="FFFFFF"/>
          <w:lang w:val="es-PR"/>
        </w:rPr>
      </w:pPr>
    </w:p>
    <w:p w14:paraId="4BC21CFF" w14:textId="6857816E" w:rsidR="006145E5" w:rsidRDefault="00B37E51" w:rsidP="006145E5">
      <w:pPr>
        <w:ind w:firstLine="360"/>
        <w:jc w:val="both"/>
        <w:rPr>
          <w:rFonts w:ascii="Book Antiqua" w:hAnsi="Book Antiqua"/>
          <w:shd w:val="clear" w:color="auto" w:fill="FFFFFF"/>
          <w:lang w:val="es-PR"/>
        </w:rPr>
      </w:pPr>
      <w:r>
        <w:rPr>
          <w:rFonts w:ascii="Book Antiqua" w:hAnsi="Book Antiqua"/>
          <w:shd w:val="clear" w:color="auto" w:fill="FFFFFF"/>
          <w:lang w:val="es-PR"/>
        </w:rPr>
        <w:t xml:space="preserve">Indudablemente, nuestros estudiantes del Sistema Público de Enseñanza han demostrado década tras década una </w:t>
      </w:r>
      <w:r w:rsidR="00052CBD">
        <w:rPr>
          <w:rFonts w:ascii="Book Antiqua" w:hAnsi="Book Antiqua"/>
          <w:shd w:val="clear" w:color="auto" w:fill="FFFFFF"/>
          <w:lang w:val="es-PR"/>
        </w:rPr>
        <w:t>pasión</w:t>
      </w:r>
      <w:r>
        <w:rPr>
          <w:rFonts w:ascii="Book Antiqua" w:hAnsi="Book Antiqua"/>
          <w:shd w:val="clear" w:color="auto" w:fill="FFFFFF"/>
          <w:lang w:val="es-PR"/>
        </w:rPr>
        <w:t xml:space="preserve"> excepcional por el empresarismo y han mostrado su rendimiento y aprendizaje en competencias académicas a nivel local, regional y nacional. Su incansable dedicación merece ser reconocida por las distintas comunidades escolares donde están establecidos estos clubs. Por estas y otras razones, esta Asamblea Legislativa debe impulsar la presente legislación a los fines que se fomente e implemente la expansión de los cursos ocupaciones del Departamento de Educación mediante la declaración del día 15 de noviembre de cada año como el “Día Nacional de D</w:t>
      </w:r>
      <w:r w:rsidR="00CA26B8">
        <w:rPr>
          <w:rFonts w:ascii="Book Antiqua" w:hAnsi="Book Antiqua"/>
          <w:shd w:val="clear" w:color="auto" w:fill="FFFFFF"/>
          <w:lang w:val="es-PR"/>
        </w:rPr>
        <w:t>ECA”</w:t>
      </w:r>
      <w:r>
        <w:rPr>
          <w:rFonts w:ascii="Book Antiqua" w:hAnsi="Book Antiqua"/>
          <w:shd w:val="clear" w:color="auto" w:fill="FFFFFF"/>
          <w:lang w:val="es-PR"/>
        </w:rPr>
        <w:t xml:space="preserve"> en Puerto Rico. </w:t>
      </w:r>
    </w:p>
    <w:p w14:paraId="4BE9A241" w14:textId="77777777" w:rsidR="008B7B7E" w:rsidRDefault="008B7B7E" w:rsidP="00873DF3">
      <w:pPr>
        <w:rPr>
          <w:rFonts w:ascii="Book Antiqua" w:hAnsi="Book Antiqua"/>
          <w:i/>
          <w:lang w:val="es-ES_tradnl"/>
        </w:rPr>
      </w:pPr>
    </w:p>
    <w:p w14:paraId="12DD0775" w14:textId="77777777" w:rsidR="00D96266" w:rsidRDefault="00D96266" w:rsidP="00873DF3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4473C315" w14:textId="77777777" w:rsidR="00D96266" w:rsidRDefault="00D96266" w:rsidP="00D96266">
      <w:pPr>
        <w:spacing w:line="480" w:lineRule="auto"/>
        <w:jc w:val="both"/>
        <w:rPr>
          <w:rFonts w:ascii="Book Antiqua" w:hAnsi="Book Antiqua"/>
          <w:lang w:val="es-ES_tradnl"/>
        </w:rPr>
        <w:sectPr w:rsidR="00D96266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80FE395" w14:textId="31233C15" w:rsidR="0032299F" w:rsidRPr="00125CDA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eastAsia="Book Antiqua" w:hAnsi="Book Antiqua" w:cs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t>Artículo 1.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374B44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="00374B44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Se declara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el día 15 de noviembre de cada año como el “Día </w:t>
      </w:r>
      <w:r w:rsidR="00CA26B8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Nacional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de DECA</w:t>
      </w:r>
      <w:r w:rsidR="00CA26B8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” en Puerto Rico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, con el propósito de conmemorar y reconocer las aportaciones positivas que los estudiantes y egresados de esta Organización estudiantil han aportado a la vida cotidiana de nuestro país y del Sistema Público de Enseñanza</w:t>
      </w:r>
      <w:r w:rsidR="00374B44" w:rsidRPr="00D96266">
        <w:rPr>
          <w:rStyle w:val="PageNumber"/>
          <w:rFonts w:ascii="Book Antiqua" w:hAnsi="Book Antiqua"/>
          <w:szCs w:val="24"/>
          <w:lang w:val="es-PR"/>
        </w:rPr>
        <w:t>; y para otros fines relacionados.</w:t>
      </w:r>
    </w:p>
    <w:p w14:paraId="049A94A3" w14:textId="697BB642" w:rsidR="0032299F" w:rsidRPr="00125CDA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hAnsi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lastRenderedPageBreak/>
        <w:t>Artículo 2.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374B44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El Departamento de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Educación de Puerto Rico,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en coordinación con el Comité Ejecutivo de esta organización estudiantil y demás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agencias estatales pertinentes</w:t>
      </w:r>
      <w:r w:rsidR="00F16337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, municipios y cualesquiera otras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organizaciones sin fines de lucro, </w:t>
      </w:r>
      <w:r w:rsidR="00F16337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deberán adoptar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las medidas necesarias para dar cumplimiento a los propósitos de esta Ley.  Asimismo, se promoverá la participación de la ciudadanía y de las entidades privadas</w:t>
      </w:r>
      <w:r w:rsidR="00F112A4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en las actividades propias de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l “Día Nacional DECA</w:t>
      </w:r>
      <w:r w:rsidR="003869B2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” en</w:t>
      </w:r>
      <w:r w:rsidR="000F1C90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Puerto Rico</w:t>
      </w:r>
      <w:r w:rsidRPr="00125CDA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. </w:t>
      </w:r>
    </w:p>
    <w:p w14:paraId="3944EBF6" w14:textId="77777777" w:rsidR="0032299F" w:rsidRPr="0032299F" w:rsidRDefault="0032299F" w:rsidP="0032299F">
      <w:pPr>
        <w:pStyle w:val="ListParagraph"/>
        <w:spacing w:after="0" w:line="480" w:lineRule="auto"/>
        <w:ind w:left="0" w:firstLine="720"/>
        <w:jc w:val="both"/>
        <w:rPr>
          <w:rStyle w:val="PageNumber"/>
          <w:rFonts w:ascii="Book Antiqua" w:eastAsia="Book Antiqua" w:hAnsi="Book Antiqua" w:cs="Book Antiqua"/>
          <w:color w:val="auto"/>
          <w:sz w:val="24"/>
          <w:szCs w:val="24"/>
          <w:lang w:val="es-PR"/>
        </w:rPr>
      </w:pPr>
      <w:r w:rsidRPr="0032299F">
        <w:rPr>
          <w:rStyle w:val="PageNumber"/>
          <w:rFonts w:ascii="Book Antiqua" w:hAnsi="Book Antiqua"/>
          <w:bCs/>
          <w:color w:val="auto"/>
          <w:sz w:val="24"/>
          <w:szCs w:val="24"/>
          <w:lang w:val="es-PR"/>
        </w:rPr>
        <w:t>Artículo 3.</w:t>
      </w:r>
      <w:r w:rsidRPr="0032299F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>-</w:t>
      </w:r>
      <w:r w:rsidR="00F16337">
        <w:rPr>
          <w:rStyle w:val="PageNumber"/>
          <w:rFonts w:ascii="Book Antiqua" w:hAnsi="Book Antiqua"/>
          <w:b/>
          <w:bCs/>
          <w:color w:val="auto"/>
          <w:sz w:val="24"/>
          <w:szCs w:val="24"/>
          <w:lang w:val="es-PR"/>
        </w:rPr>
        <w:t xml:space="preserve"> 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El Gobernador de Puerto Rico</w:t>
      </w:r>
      <w:r w:rsidR="00A33916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anualmente emitirá</w:t>
      </w:r>
      <w:r w:rsidR="00125CDA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125CDA" w:rsidRPr="00165206">
        <w:rPr>
          <w:rStyle w:val="PageNumber"/>
          <w:rFonts w:ascii="Book Antiqua" w:hAnsi="Book Antiqua"/>
          <w:iCs/>
          <w:color w:val="auto"/>
          <w:sz w:val="24"/>
          <w:szCs w:val="24"/>
          <w:lang w:val="es-PR"/>
        </w:rPr>
        <w:t>una</w:t>
      </w:r>
      <w:r w:rsidR="00A33916" w:rsidRPr="00F9482C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</w:t>
      </w:r>
      <w:r w:rsidR="00A33916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>proclama a tal</w:t>
      </w:r>
      <w:r w:rsidRPr="0032299F">
        <w:rPr>
          <w:rStyle w:val="PageNumber"/>
          <w:rFonts w:ascii="Book Antiqua" w:hAnsi="Book Antiqua"/>
          <w:color w:val="auto"/>
          <w:sz w:val="24"/>
          <w:szCs w:val="24"/>
          <w:lang w:val="es-PR"/>
        </w:rPr>
        <w:t xml:space="preserve"> efecto. </w:t>
      </w:r>
    </w:p>
    <w:p w14:paraId="241CFF6E" w14:textId="77777777" w:rsidR="00D96266" w:rsidRPr="0032299F" w:rsidRDefault="0032299F" w:rsidP="0032299F">
      <w:pPr>
        <w:keepNext/>
        <w:keepLines/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Style w:val="PageNumber"/>
          <w:rFonts w:ascii="Book Antiqua" w:hAnsi="Book Antiqua"/>
          <w:bCs/>
          <w:szCs w:val="24"/>
          <w:lang w:val="es-PR"/>
        </w:rPr>
        <w:t xml:space="preserve">Artículo </w:t>
      </w:r>
      <w:r w:rsidRPr="0032299F">
        <w:rPr>
          <w:rStyle w:val="PageNumber"/>
          <w:rFonts w:ascii="Book Antiqua" w:hAnsi="Book Antiqua"/>
          <w:bCs/>
          <w:szCs w:val="24"/>
          <w:lang w:val="es-PR"/>
        </w:rPr>
        <w:t>4.</w:t>
      </w:r>
      <w:r w:rsidRPr="0032299F">
        <w:rPr>
          <w:rStyle w:val="PageNumber"/>
          <w:rFonts w:ascii="Book Antiqua" w:hAnsi="Book Antiqua"/>
          <w:b/>
          <w:bCs/>
          <w:szCs w:val="24"/>
          <w:lang w:val="es-PR"/>
        </w:rPr>
        <w:t>-</w:t>
      </w:r>
      <w:r w:rsidRPr="0032299F">
        <w:rPr>
          <w:rStyle w:val="PageNumber"/>
          <w:rFonts w:ascii="Book Antiqua" w:hAnsi="Book Antiqua"/>
          <w:szCs w:val="24"/>
          <w:lang w:val="es-PR"/>
        </w:rPr>
        <w:t>Esta Ley comenzará a regir inmediatamente después de su aprobación.</w:t>
      </w:r>
    </w:p>
    <w:sectPr w:rsidR="00D96266" w:rsidRPr="0032299F" w:rsidSect="00D9626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A550" w14:textId="77777777" w:rsidR="009331EC" w:rsidRDefault="009331EC">
      <w:r>
        <w:separator/>
      </w:r>
    </w:p>
  </w:endnote>
  <w:endnote w:type="continuationSeparator" w:id="0">
    <w:p w14:paraId="418E5822" w14:textId="77777777" w:rsidR="009331EC" w:rsidRDefault="009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51A1" w14:textId="77777777" w:rsidR="009331EC" w:rsidRDefault="009331EC">
      <w:r>
        <w:separator/>
      </w:r>
    </w:p>
  </w:footnote>
  <w:footnote w:type="continuationSeparator" w:id="0">
    <w:p w14:paraId="7561116E" w14:textId="77777777" w:rsidR="009331EC" w:rsidRDefault="009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40D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086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54E1"/>
    <w:multiLevelType w:val="multilevel"/>
    <w:tmpl w:val="265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96266"/>
    <w:rsid w:val="000175CE"/>
    <w:rsid w:val="00020BBB"/>
    <w:rsid w:val="00035D8E"/>
    <w:rsid w:val="00052CBD"/>
    <w:rsid w:val="00056024"/>
    <w:rsid w:val="00057CAD"/>
    <w:rsid w:val="000677F9"/>
    <w:rsid w:val="00095AE1"/>
    <w:rsid w:val="000A57C7"/>
    <w:rsid w:val="000A6B6C"/>
    <w:rsid w:val="000B0DBB"/>
    <w:rsid w:val="000E5104"/>
    <w:rsid w:val="000F1C90"/>
    <w:rsid w:val="00111E71"/>
    <w:rsid w:val="00123FE4"/>
    <w:rsid w:val="00125CDA"/>
    <w:rsid w:val="00127396"/>
    <w:rsid w:val="00127C6A"/>
    <w:rsid w:val="001363FE"/>
    <w:rsid w:val="001535FF"/>
    <w:rsid w:val="00165206"/>
    <w:rsid w:val="0017132B"/>
    <w:rsid w:val="0019724B"/>
    <w:rsid w:val="001F612A"/>
    <w:rsid w:val="00211396"/>
    <w:rsid w:val="00226AE6"/>
    <w:rsid w:val="00245B34"/>
    <w:rsid w:val="00263355"/>
    <w:rsid w:val="00273792"/>
    <w:rsid w:val="002A4A6A"/>
    <w:rsid w:val="002D4AC8"/>
    <w:rsid w:val="002E1575"/>
    <w:rsid w:val="002E3A4E"/>
    <w:rsid w:val="00320D78"/>
    <w:rsid w:val="0032299F"/>
    <w:rsid w:val="003579F0"/>
    <w:rsid w:val="00374B44"/>
    <w:rsid w:val="00380FE5"/>
    <w:rsid w:val="003869B2"/>
    <w:rsid w:val="00391DD8"/>
    <w:rsid w:val="003924DD"/>
    <w:rsid w:val="00394FCB"/>
    <w:rsid w:val="003963F4"/>
    <w:rsid w:val="003B5254"/>
    <w:rsid w:val="003B5CEC"/>
    <w:rsid w:val="003B75A6"/>
    <w:rsid w:val="004061CA"/>
    <w:rsid w:val="00415689"/>
    <w:rsid w:val="00427736"/>
    <w:rsid w:val="004440CB"/>
    <w:rsid w:val="004713D2"/>
    <w:rsid w:val="004A3B63"/>
    <w:rsid w:val="004A5650"/>
    <w:rsid w:val="004C4BD8"/>
    <w:rsid w:val="00521639"/>
    <w:rsid w:val="00532BB7"/>
    <w:rsid w:val="005332E4"/>
    <w:rsid w:val="0053550C"/>
    <w:rsid w:val="0053618F"/>
    <w:rsid w:val="0054743D"/>
    <w:rsid w:val="00555018"/>
    <w:rsid w:val="005723DC"/>
    <w:rsid w:val="00581736"/>
    <w:rsid w:val="00592EEC"/>
    <w:rsid w:val="005F3C5C"/>
    <w:rsid w:val="005F5DB6"/>
    <w:rsid w:val="00611B38"/>
    <w:rsid w:val="006145E5"/>
    <w:rsid w:val="006210DC"/>
    <w:rsid w:val="0064349D"/>
    <w:rsid w:val="00671BF9"/>
    <w:rsid w:val="00671CA5"/>
    <w:rsid w:val="00685549"/>
    <w:rsid w:val="006914F0"/>
    <w:rsid w:val="006B7365"/>
    <w:rsid w:val="006C2D81"/>
    <w:rsid w:val="006C7987"/>
    <w:rsid w:val="006C7DF8"/>
    <w:rsid w:val="0071418F"/>
    <w:rsid w:val="00750FC8"/>
    <w:rsid w:val="007533D0"/>
    <w:rsid w:val="00755069"/>
    <w:rsid w:val="007B0660"/>
    <w:rsid w:val="007C5F29"/>
    <w:rsid w:val="007E3868"/>
    <w:rsid w:val="00817BD3"/>
    <w:rsid w:val="00820C41"/>
    <w:rsid w:val="00850256"/>
    <w:rsid w:val="00873DF3"/>
    <w:rsid w:val="0089271F"/>
    <w:rsid w:val="008B7B7E"/>
    <w:rsid w:val="008C721A"/>
    <w:rsid w:val="008D2BC3"/>
    <w:rsid w:val="008F453C"/>
    <w:rsid w:val="00923CB8"/>
    <w:rsid w:val="009331EC"/>
    <w:rsid w:val="009355F0"/>
    <w:rsid w:val="00942FD4"/>
    <w:rsid w:val="00951997"/>
    <w:rsid w:val="0095494C"/>
    <w:rsid w:val="00960048"/>
    <w:rsid w:val="00990352"/>
    <w:rsid w:val="00A03405"/>
    <w:rsid w:val="00A1528A"/>
    <w:rsid w:val="00A20BDC"/>
    <w:rsid w:val="00A33916"/>
    <w:rsid w:val="00A33918"/>
    <w:rsid w:val="00A56C8B"/>
    <w:rsid w:val="00A7629F"/>
    <w:rsid w:val="00AD5C79"/>
    <w:rsid w:val="00AF0CEE"/>
    <w:rsid w:val="00B37E51"/>
    <w:rsid w:val="00B532DD"/>
    <w:rsid w:val="00B667AD"/>
    <w:rsid w:val="00B82A5A"/>
    <w:rsid w:val="00B84032"/>
    <w:rsid w:val="00B84C38"/>
    <w:rsid w:val="00B86C00"/>
    <w:rsid w:val="00B947F6"/>
    <w:rsid w:val="00BC1999"/>
    <w:rsid w:val="00BD644C"/>
    <w:rsid w:val="00BF16AA"/>
    <w:rsid w:val="00C354B8"/>
    <w:rsid w:val="00C51F92"/>
    <w:rsid w:val="00C52517"/>
    <w:rsid w:val="00C62936"/>
    <w:rsid w:val="00C653F2"/>
    <w:rsid w:val="00C679E6"/>
    <w:rsid w:val="00C86015"/>
    <w:rsid w:val="00C908F9"/>
    <w:rsid w:val="00CA0917"/>
    <w:rsid w:val="00CA26B8"/>
    <w:rsid w:val="00D417C2"/>
    <w:rsid w:val="00D42863"/>
    <w:rsid w:val="00D60936"/>
    <w:rsid w:val="00D709EB"/>
    <w:rsid w:val="00D72E76"/>
    <w:rsid w:val="00D74714"/>
    <w:rsid w:val="00D82F3F"/>
    <w:rsid w:val="00D91DA9"/>
    <w:rsid w:val="00D921C6"/>
    <w:rsid w:val="00D9236B"/>
    <w:rsid w:val="00D958C2"/>
    <w:rsid w:val="00D96266"/>
    <w:rsid w:val="00DC61F6"/>
    <w:rsid w:val="00DC7916"/>
    <w:rsid w:val="00DF12F5"/>
    <w:rsid w:val="00DF2086"/>
    <w:rsid w:val="00DF635C"/>
    <w:rsid w:val="00E04AB5"/>
    <w:rsid w:val="00E50EEA"/>
    <w:rsid w:val="00E52F58"/>
    <w:rsid w:val="00E77ED7"/>
    <w:rsid w:val="00E805B0"/>
    <w:rsid w:val="00EC26AA"/>
    <w:rsid w:val="00EC48F4"/>
    <w:rsid w:val="00ED7A53"/>
    <w:rsid w:val="00EE4273"/>
    <w:rsid w:val="00F02004"/>
    <w:rsid w:val="00F042CB"/>
    <w:rsid w:val="00F112A4"/>
    <w:rsid w:val="00F16337"/>
    <w:rsid w:val="00F45F0F"/>
    <w:rsid w:val="00F9482C"/>
    <w:rsid w:val="00FA60B5"/>
    <w:rsid w:val="00FC0A95"/>
    <w:rsid w:val="00FC1139"/>
    <w:rsid w:val="00FC3D9C"/>
    <w:rsid w:val="00FD0FB9"/>
    <w:rsid w:val="00FE2FC0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902B3"/>
  <w15:chartTrackingRefBased/>
  <w15:docId w15:val="{7D9E269D-7A2C-4316-BCA8-80E1C0A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rsid w:val="0032299F"/>
    <w:rPr>
      <w:sz w:val="20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99F"/>
  </w:style>
  <w:style w:type="character" w:styleId="FootnoteReference">
    <w:name w:val="footnote reference"/>
    <w:basedOn w:val="DefaultParagraphFont"/>
    <w:uiPriority w:val="99"/>
    <w:semiHidden/>
    <w:unhideWhenUsed/>
    <w:rsid w:val="0032299F"/>
    <w:rPr>
      <w:vertAlign w:val="superscript"/>
    </w:rPr>
  </w:style>
  <w:style w:type="character" w:styleId="Hyperlink">
    <w:name w:val="Hyperlink"/>
    <w:uiPriority w:val="99"/>
    <w:semiHidden/>
    <w:unhideWhenUsed/>
    <w:rsid w:val="00322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7C5F2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C5F2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A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1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onzalez\Desktop\MACROS\Macro%20Medida%20C&#225;mara%202017-2020_MO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F0F2E1CA-C192-461F-89A4-CAE4DFBE3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2017-2020_MOD2</Template>
  <TotalTime>9</TotalTime>
  <Pages>3</Pages>
  <Words>745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Viviannette González Barreto</dc:creator>
  <cp:keywords/>
  <cp:lastModifiedBy>Juan C. Marrero Velázquez</cp:lastModifiedBy>
  <cp:revision>10</cp:revision>
  <cp:lastPrinted>2024-03-13T17:20:00Z</cp:lastPrinted>
  <dcterms:created xsi:type="dcterms:W3CDTF">2023-08-22T17:40:00Z</dcterms:created>
  <dcterms:modified xsi:type="dcterms:W3CDTF">2024-04-03T15:52:00Z</dcterms:modified>
</cp:coreProperties>
</file>