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1DE3" w14:textId="77777777" w:rsidR="00FF6BD2" w:rsidRDefault="00C953E5" w:rsidP="00C953E5">
      <w:pPr>
        <w:jc w:val="center"/>
        <w:rPr>
          <w:rFonts w:ascii="Book Antiqua" w:hAnsi="Book Antiqua"/>
          <w:sz w:val="28"/>
          <w:lang w:val="es-ES_tradnl"/>
        </w:rPr>
      </w:pPr>
      <w:r>
        <w:rPr>
          <w:rFonts w:ascii="Book Antiqua" w:hAnsi="Book Antiqua"/>
          <w:sz w:val="28"/>
          <w:lang w:val="es-ES_tradnl"/>
        </w:rPr>
        <w:t>ESTADO LIBRE ASOCIADO DE PUERTO RICO</w:t>
      </w:r>
    </w:p>
    <w:p w14:paraId="5C093F24" w14:textId="77777777" w:rsidR="00C953E5" w:rsidRDefault="00C953E5" w:rsidP="00C953E5">
      <w:pPr>
        <w:jc w:val="center"/>
        <w:rPr>
          <w:rFonts w:ascii="Book Antiqua" w:hAnsi="Book Antiqua"/>
          <w:sz w:val="28"/>
          <w:lang w:val="es-ES_tradnl"/>
        </w:rPr>
      </w:pPr>
    </w:p>
    <w:p w14:paraId="69C83253" w14:textId="37EFFB2E" w:rsidR="00C953E5" w:rsidRDefault="00C953E5" w:rsidP="00C953E5">
      <w:pPr>
        <w:pStyle w:val="Title2"/>
        <w:rPr>
          <w:rFonts w:ascii="Book Antiqua" w:hAnsi="Book Antiqua"/>
          <w:lang w:val="es-ES_tradnl"/>
        </w:rPr>
      </w:pPr>
      <w:r>
        <w:rPr>
          <w:rFonts w:ascii="Book Antiqua" w:hAnsi="Book Antiqua"/>
          <w:lang w:val="es-ES_tradnl"/>
        </w:rPr>
        <w:t>19</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r>
      <w:r w:rsidR="008351AE">
        <w:rPr>
          <w:rFonts w:ascii="Book Antiqua" w:hAnsi="Book Antiqua"/>
          <w:lang w:val="es-ES_tradnl"/>
        </w:rPr>
        <w:t>7</w:t>
      </w:r>
      <w:r w:rsidR="008351AE">
        <w:rPr>
          <w:rFonts w:ascii="Book Antiqua" w:hAnsi="Book Antiqua"/>
          <w:vertAlign w:val="superscript"/>
          <w:lang w:val="es-ES_tradnl"/>
        </w:rPr>
        <w:t>ma</w:t>
      </w:r>
      <w:r>
        <w:rPr>
          <w:rFonts w:ascii="Book Antiqua" w:hAnsi="Book Antiqua"/>
          <w:lang w:val="es-ES_tradnl"/>
        </w:rPr>
        <w:tab/>
        <w:t>Sesión</w:t>
      </w:r>
    </w:p>
    <w:p w14:paraId="403F89B9" w14:textId="77777777" w:rsidR="00C953E5" w:rsidRDefault="00C953E5" w:rsidP="00C953E5">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60934370" w14:textId="77777777" w:rsidR="00C953E5" w:rsidRDefault="00C953E5" w:rsidP="00C953E5">
      <w:pPr>
        <w:rPr>
          <w:lang w:val="es-ES_tradnl"/>
        </w:rPr>
      </w:pPr>
    </w:p>
    <w:p w14:paraId="0C8F1999" w14:textId="77777777" w:rsidR="00C953E5" w:rsidRDefault="00C953E5" w:rsidP="00C953E5">
      <w:pPr>
        <w:jc w:val="center"/>
        <w:rPr>
          <w:rFonts w:ascii="Book Antiqua" w:hAnsi="Book Antiqua"/>
          <w:b/>
          <w:sz w:val="36"/>
          <w:lang w:val="es-ES_tradnl"/>
        </w:rPr>
      </w:pPr>
      <w:r>
        <w:rPr>
          <w:rFonts w:ascii="Book Antiqua" w:hAnsi="Book Antiqua"/>
          <w:b/>
          <w:sz w:val="36"/>
          <w:lang w:val="es-ES_tradnl"/>
        </w:rPr>
        <w:t>CÁMARA DE REPRESENTANTES</w:t>
      </w:r>
    </w:p>
    <w:p w14:paraId="68D5CA5C" w14:textId="77777777" w:rsidR="00C953E5" w:rsidRDefault="00C953E5" w:rsidP="00C953E5">
      <w:pPr>
        <w:jc w:val="center"/>
        <w:rPr>
          <w:rFonts w:ascii="Book Antiqua" w:hAnsi="Book Antiqua"/>
          <w:b/>
          <w:sz w:val="36"/>
          <w:lang w:val="es-ES_tradnl"/>
        </w:rPr>
      </w:pPr>
    </w:p>
    <w:p w14:paraId="6CC12C12" w14:textId="50B4F9DA" w:rsidR="00C953E5" w:rsidRDefault="00C953E5" w:rsidP="00C953E5">
      <w:pPr>
        <w:jc w:val="center"/>
        <w:rPr>
          <w:rFonts w:ascii="Book Antiqua" w:hAnsi="Book Antiqua"/>
          <w:b/>
          <w:sz w:val="52"/>
          <w:lang w:val="es-ES_tradnl"/>
        </w:rPr>
      </w:pPr>
      <w:r>
        <w:rPr>
          <w:rFonts w:ascii="Book Antiqua" w:hAnsi="Book Antiqua"/>
          <w:b/>
          <w:sz w:val="52"/>
          <w:lang w:val="es-ES_tradnl"/>
        </w:rPr>
        <w:t xml:space="preserve">P. de la C. </w:t>
      </w:r>
      <w:r w:rsidR="008351AE">
        <w:rPr>
          <w:rFonts w:ascii="Book Antiqua" w:hAnsi="Book Antiqua"/>
          <w:b/>
          <w:sz w:val="52"/>
          <w:lang w:val="es-ES_tradnl"/>
        </w:rPr>
        <w:t>1957</w:t>
      </w:r>
    </w:p>
    <w:p w14:paraId="49C4AA05" w14:textId="77777777" w:rsidR="00C953E5" w:rsidRDefault="00C953E5" w:rsidP="00C953E5">
      <w:pPr>
        <w:jc w:val="center"/>
        <w:rPr>
          <w:rFonts w:ascii="Book Antiqua" w:hAnsi="Book Antiqua"/>
          <w:b/>
          <w:sz w:val="52"/>
          <w:lang w:val="es-ES_tradnl"/>
        </w:rPr>
      </w:pPr>
    </w:p>
    <w:p w14:paraId="18BB68D8" w14:textId="77777777" w:rsidR="00C953E5" w:rsidRDefault="00C953E5" w:rsidP="00C953E5">
      <w:pPr>
        <w:jc w:val="center"/>
        <w:rPr>
          <w:rFonts w:ascii="Book Antiqua" w:hAnsi="Book Antiqua"/>
          <w:sz w:val="28"/>
          <w:lang w:val="es-ES_tradnl"/>
        </w:rPr>
      </w:pPr>
      <w:r>
        <w:rPr>
          <w:rFonts w:ascii="Book Antiqua" w:hAnsi="Book Antiqua"/>
          <w:b/>
          <w:sz w:val="28"/>
          <w:lang w:val="es-ES_tradnl"/>
        </w:rPr>
        <w:t>INFORME</w:t>
      </w:r>
      <w:r w:rsidR="00877EC1">
        <w:rPr>
          <w:rFonts w:ascii="Book Antiqua" w:hAnsi="Book Antiqua"/>
          <w:b/>
          <w:sz w:val="28"/>
          <w:lang w:val="es-ES_tradnl"/>
        </w:rPr>
        <w:t xml:space="preserve"> POSITIVO</w:t>
      </w:r>
    </w:p>
    <w:p w14:paraId="68B1F6F1" w14:textId="77777777" w:rsidR="00C953E5" w:rsidRDefault="00C953E5" w:rsidP="00C953E5">
      <w:pPr>
        <w:jc w:val="center"/>
        <w:rPr>
          <w:rFonts w:ascii="Book Antiqua" w:hAnsi="Book Antiqua"/>
          <w:sz w:val="28"/>
          <w:lang w:val="es-ES_tradnl"/>
        </w:rPr>
      </w:pPr>
    </w:p>
    <w:p w14:paraId="0E5B588A" w14:textId="7F86987E" w:rsidR="00C953E5" w:rsidRDefault="00656206" w:rsidP="00C953E5">
      <w:pPr>
        <w:jc w:val="center"/>
        <w:rPr>
          <w:rFonts w:ascii="Book Antiqua" w:hAnsi="Book Antiqua"/>
          <w:lang w:val="es-ES_tradnl"/>
        </w:rPr>
      </w:pPr>
      <w:r>
        <w:rPr>
          <w:rFonts w:ascii="Book Antiqua" w:hAnsi="Book Antiqua"/>
          <w:lang w:val="es-ES_tradnl"/>
        </w:rPr>
        <w:t xml:space="preserve">12 </w:t>
      </w:r>
      <w:r w:rsidR="00982CE6">
        <w:rPr>
          <w:rFonts w:ascii="Book Antiqua" w:hAnsi="Book Antiqua"/>
          <w:lang w:val="es-ES_tradnl"/>
        </w:rPr>
        <w:t>DE</w:t>
      </w:r>
      <w:r w:rsidR="00C953E5">
        <w:rPr>
          <w:rFonts w:ascii="Book Antiqua" w:hAnsi="Book Antiqua"/>
          <w:lang w:val="es-ES_tradnl"/>
        </w:rPr>
        <w:t xml:space="preserve"> </w:t>
      </w:r>
      <w:r w:rsidR="008351AE">
        <w:rPr>
          <w:rFonts w:ascii="Book Antiqua" w:hAnsi="Book Antiqua"/>
          <w:lang w:val="es-ES_tradnl"/>
        </w:rPr>
        <w:t>FEBRERO</w:t>
      </w:r>
      <w:r w:rsidR="00C953E5">
        <w:rPr>
          <w:rFonts w:ascii="Book Antiqua" w:hAnsi="Book Antiqua"/>
          <w:lang w:val="es-ES_tradnl"/>
        </w:rPr>
        <w:t xml:space="preserve"> </w:t>
      </w:r>
      <w:r w:rsidR="00982CE6">
        <w:rPr>
          <w:rFonts w:ascii="Book Antiqua" w:hAnsi="Book Antiqua"/>
          <w:lang w:val="es-ES_tradnl"/>
        </w:rPr>
        <w:t>DE</w:t>
      </w:r>
      <w:r w:rsidR="00C953E5">
        <w:rPr>
          <w:rFonts w:ascii="Book Antiqua" w:hAnsi="Book Antiqua"/>
          <w:lang w:val="es-ES_tradnl"/>
        </w:rPr>
        <w:t xml:space="preserve"> 202</w:t>
      </w:r>
      <w:r w:rsidR="008351AE">
        <w:rPr>
          <w:rFonts w:ascii="Book Antiqua" w:hAnsi="Book Antiqua"/>
          <w:lang w:val="es-ES_tradnl"/>
        </w:rPr>
        <w:t>4</w:t>
      </w:r>
    </w:p>
    <w:p w14:paraId="61606991" w14:textId="77777777" w:rsidR="00C953E5" w:rsidRDefault="00C953E5" w:rsidP="00C953E5">
      <w:pPr>
        <w:jc w:val="center"/>
        <w:rPr>
          <w:rFonts w:ascii="Book Antiqua" w:hAnsi="Book Antiqua"/>
          <w:lang w:val="es-ES_tradnl"/>
        </w:rPr>
      </w:pPr>
    </w:p>
    <w:p w14:paraId="4ABECBCC" w14:textId="77777777" w:rsidR="00C953E5" w:rsidRDefault="00C953E5" w:rsidP="00C953E5">
      <w:pPr>
        <w:jc w:val="center"/>
        <w:rPr>
          <w:rFonts w:ascii="Book Antiqua" w:hAnsi="Book Antiqua"/>
          <w:lang w:val="es-ES_tradnl"/>
        </w:rPr>
      </w:pPr>
    </w:p>
    <w:p w14:paraId="149D2F13" w14:textId="77777777" w:rsidR="00C953E5" w:rsidRDefault="00C953E5" w:rsidP="00C953E5">
      <w:pPr>
        <w:jc w:val="both"/>
        <w:rPr>
          <w:rFonts w:ascii="Book Antiqua" w:hAnsi="Book Antiqua"/>
          <w:lang w:val="es-ES_tradnl"/>
        </w:rPr>
      </w:pPr>
      <w:r>
        <w:rPr>
          <w:rFonts w:ascii="Book Antiqua" w:hAnsi="Book Antiqua"/>
          <w:b/>
          <w:lang w:val="es-ES_tradnl"/>
        </w:rPr>
        <w:t>A LA CÁMARA DE REPRESENTANTES:</w:t>
      </w:r>
    </w:p>
    <w:p w14:paraId="6D2396D5" w14:textId="77777777" w:rsidR="00C953E5" w:rsidRDefault="00C953E5" w:rsidP="00C953E5">
      <w:pPr>
        <w:jc w:val="both"/>
        <w:rPr>
          <w:rFonts w:ascii="Book Antiqua" w:hAnsi="Book Antiqua"/>
          <w:lang w:val="es-ES_tradnl"/>
        </w:rPr>
      </w:pPr>
    </w:p>
    <w:p w14:paraId="067B2581" w14:textId="0D57FEF3" w:rsidR="00C953E5" w:rsidRDefault="008351AE" w:rsidP="008351AE">
      <w:pPr>
        <w:ind w:firstLine="720"/>
        <w:jc w:val="both"/>
        <w:rPr>
          <w:rFonts w:ascii="Book Antiqua" w:hAnsi="Book Antiqua"/>
          <w:bCs/>
          <w:lang w:val="es-ES_tradnl"/>
        </w:rPr>
      </w:pPr>
      <w:r w:rsidRPr="008351AE">
        <w:rPr>
          <w:rFonts w:ascii="Book Antiqua" w:hAnsi="Book Antiqua"/>
          <w:bCs/>
          <w:lang w:val="es-ES_tradnl"/>
        </w:rPr>
        <w:t xml:space="preserve">La Comisión de </w:t>
      </w:r>
      <w:r>
        <w:rPr>
          <w:rFonts w:ascii="Book Antiqua" w:hAnsi="Book Antiqua"/>
          <w:bCs/>
          <w:lang w:val="es-ES_tradnl"/>
        </w:rPr>
        <w:t>lo Jurídico</w:t>
      </w:r>
      <w:r w:rsidRPr="008351AE">
        <w:rPr>
          <w:rFonts w:ascii="Book Antiqua" w:hAnsi="Book Antiqua"/>
          <w:bCs/>
          <w:lang w:val="es-ES_tradnl"/>
        </w:rPr>
        <w:t xml:space="preserve"> de la Cámara de Representantes del Estado Libre Asociado de Puerto Rico, previo estudio y consideración del </w:t>
      </w:r>
      <w:bookmarkStart w:id="0" w:name="_Hlk135900322"/>
      <w:r w:rsidRPr="008351AE">
        <w:rPr>
          <w:rFonts w:ascii="Book Antiqua" w:hAnsi="Book Antiqua"/>
          <w:b/>
          <w:lang w:val="es-ES_tradnl"/>
        </w:rPr>
        <w:t xml:space="preserve">Proyecto de la Cámara </w:t>
      </w:r>
      <w:bookmarkEnd w:id="0"/>
      <w:r>
        <w:rPr>
          <w:rFonts w:ascii="Book Antiqua" w:hAnsi="Book Antiqua"/>
          <w:b/>
          <w:lang w:val="es-ES_tradnl"/>
        </w:rPr>
        <w:t>1957</w:t>
      </w:r>
      <w:r w:rsidRPr="008351AE">
        <w:rPr>
          <w:rFonts w:ascii="Book Antiqua" w:hAnsi="Book Antiqua"/>
          <w:bCs/>
          <w:lang w:val="es-ES_tradnl"/>
        </w:rPr>
        <w:t xml:space="preserve">, tiene el honor de recomendar a este Cuerpo Legislativo su aprobación, </w:t>
      </w:r>
      <w:r w:rsidR="007F53C9">
        <w:rPr>
          <w:rFonts w:ascii="Book Antiqua" w:hAnsi="Book Antiqua"/>
          <w:bCs/>
          <w:lang w:val="es-ES_tradnl"/>
        </w:rPr>
        <w:t>con</w:t>
      </w:r>
      <w:r w:rsidRPr="008351AE">
        <w:rPr>
          <w:rFonts w:ascii="Book Antiqua" w:hAnsi="Book Antiqua"/>
          <w:bCs/>
          <w:lang w:val="es-ES_tradnl"/>
        </w:rPr>
        <w:t xml:space="preserve"> enmiendas.</w:t>
      </w:r>
    </w:p>
    <w:p w14:paraId="6A8931EF" w14:textId="77777777" w:rsidR="008351AE" w:rsidRPr="008351AE" w:rsidRDefault="008351AE" w:rsidP="008351AE">
      <w:pPr>
        <w:ind w:firstLine="720"/>
        <w:jc w:val="both"/>
        <w:rPr>
          <w:rFonts w:ascii="Book Antiqua" w:hAnsi="Book Antiqua"/>
          <w:bCs/>
          <w:lang w:val="es-ES_tradnl"/>
        </w:rPr>
      </w:pPr>
    </w:p>
    <w:p w14:paraId="3D5A6961" w14:textId="77777777" w:rsidR="00C953E5" w:rsidRPr="00C953E5" w:rsidRDefault="00C953E5" w:rsidP="00C953E5">
      <w:pPr>
        <w:jc w:val="center"/>
        <w:rPr>
          <w:rFonts w:ascii="Book Antiqua" w:hAnsi="Book Antiqua"/>
          <w:b/>
          <w:szCs w:val="24"/>
          <w:lang w:val="es-PR"/>
        </w:rPr>
      </w:pPr>
      <w:r w:rsidRPr="00C953E5">
        <w:rPr>
          <w:rFonts w:ascii="Book Antiqua" w:hAnsi="Book Antiqua"/>
          <w:b/>
          <w:szCs w:val="24"/>
          <w:lang w:val="es-PR"/>
        </w:rPr>
        <w:t>ALCANCE DE LA MEDIDA</w:t>
      </w:r>
    </w:p>
    <w:p w14:paraId="50898BD3" w14:textId="77777777" w:rsidR="00C953E5" w:rsidRDefault="00C953E5" w:rsidP="00C953E5">
      <w:pPr>
        <w:jc w:val="both"/>
        <w:rPr>
          <w:rFonts w:ascii="Book Antiqua" w:hAnsi="Book Antiqua"/>
          <w:lang w:val="es-ES_tradnl"/>
        </w:rPr>
      </w:pPr>
    </w:p>
    <w:p w14:paraId="47C5F279" w14:textId="049D95F9" w:rsidR="00C953E5" w:rsidRDefault="00C953E5" w:rsidP="009517F3">
      <w:pPr>
        <w:ind w:firstLine="720"/>
        <w:jc w:val="both"/>
        <w:rPr>
          <w:rFonts w:ascii="Book Antiqua" w:hAnsi="Book Antiqua"/>
          <w:lang w:val="es-ES_tradnl"/>
        </w:rPr>
      </w:pPr>
      <w:r>
        <w:rPr>
          <w:rFonts w:ascii="Book Antiqua" w:hAnsi="Book Antiqua"/>
          <w:lang w:val="es-ES_tradnl"/>
        </w:rPr>
        <w:t xml:space="preserve">El </w:t>
      </w:r>
      <w:bookmarkStart w:id="1" w:name="_Hlk158213403"/>
      <w:r w:rsidR="009517F3">
        <w:rPr>
          <w:rFonts w:ascii="Book Antiqua" w:hAnsi="Book Antiqua"/>
          <w:lang w:val="es-ES_tradnl"/>
        </w:rPr>
        <w:t>P. de la C. 1957</w:t>
      </w:r>
      <w:r w:rsidR="007F53C9">
        <w:rPr>
          <w:rFonts w:ascii="Book Antiqua" w:hAnsi="Book Antiqua"/>
          <w:lang w:val="es-ES_tradnl"/>
        </w:rPr>
        <w:t>, según las enmiendas contenidas en el entirillado electrónico que acompaña este Informe,</w:t>
      </w:r>
      <w:r w:rsidR="009517F3">
        <w:rPr>
          <w:rFonts w:ascii="Book Antiqua" w:hAnsi="Book Antiqua"/>
          <w:lang w:val="es-ES_tradnl"/>
        </w:rPr>
        <w:t xml:space="preserve"> </w:t>
      </w:r>
      <w:bookmarkEnd w:id="1"/>
      <w:r w:rsidR="009517F3">
        <w:rPr>
          <w:rFonts w:ascii="Book Antiqua" w:hAnsi="Book Antiqua"/>
          <w:lang w:val="es-ES_tradnl"/>
        </w:rPr>
        <w:t xml:space="preserve">tiene como propósito </w:t>
      </w:r>
      <w:r w:rsidR="007F53C9" w:rsidRPr="00B46C8F">
        <w:rPr>
          <w:rFonts w:ascii="Book Antiqua" w:hAnsi="Book Antiqua"/>
          <w:lang w:val="es-ES"/>
        </w:rPr>
        <w:t>crear la “Ley Natalia Nicole Ayala Rivera”;</w:t>
      </w:r>
      <w:r w:rsidR="007F53C9" w:rsidRPr="007F53C9">
        <w:rPr>
          <w:rFonts w:ascii="Book Antiqua" w:hAnsi="Book Antiqua"/>
          <w:lang w:val="es-ES"/>
        </w:rPr>
        <w:t xml:space="preserve"> enmendar el Artículo 4.02 y </w:t>
      </w:r>
      <w:r w:rsidR="007F53C9" w:rsidRPr="007F53C9">
        <w:rPr>
          <w:rFonts w:ascii="Book Antiqua" w:hAnsi="Book Antiqua"/>
          <w:iCs/>
          <w:lang w:val="es-ES"/>
        </w:rPr>
        <w:t>5.07</w:t>
      </w:r>
      <w:r w:rsidR="007F53C9" w:rsidRPr="007F53C9">
        <w:rPr>
          <w:rFonts w:ascii="Book Antiqua" w:hAnsi="Book Antiqua"/>
          <w:lang w:val="es-ES"/>
        </w:rPr>
        <w:t xml:space="preserve"> de la Ley 22-2000, según enmendada, conocida como “Ley de Vehículos y Tránsito de Puerto Rico; enmendar el Artículo 16 del Plan de </w:t>
      </w:r>
      <w:r w:rsidR="007F53C9" w:rsidRPr="007F53C9">
        <w:rPr>
          <w:rFonts w:ascii="Book Antiqua" w:hAnsi="Book Antiqua"/>
          <w:iCs/>
          <w:lang w:val="es-ES"/>
        </w:rPr>
        <w:t>Reorganización</w:t>
      </w:r>
      <w:r w:rsidR="007F53C9" w:rsidRPr="007F53C9">
        <w:rPr>
          <w:rFonts w:ascii="Book Antiqua" w:hAnsi="Book Antiqua"/>
          <w:lang w:val="es-ES"/>
        </w:rPr>
        <w:t xml:space="preserve"> Núm. 2</w:t>
      </w:r>
      <w:r w:rsidR="007F53C9" w:rsidRPr="007F53C9">
        <w:rPr>
          <w:rFonts w:ascii="Book Antiqua" w:hAnsi="Book Antiqua"/>
          <w:iCs/>
          <w:lang w:val="es-ES"/>
        </w:rPr>
        <w:t>-2011</w:t>
      </w:r>
      <w:r w:rsidR="007F53C9" w:rsidRPr="007F53C9">
        <w:rPr>
          <w:rFonts w:ascii="Book Antiqua" w:hAnsi="Book Antiqua"/>
          <w:lang w:val="es-ES"/>
        </w:rPr>
        <w:t xml:space="preserve">, </w:t>
      </w:r>
      <w:r w:rsidR="007F53C9" w:rsidRPr="007F53C9">
        <w:rPr>
          <w:rFonts w:ascii="Book Antiqua" w:hAnsi="Book Antiqua"/>
          <w:iCs/>
          <w:lang w:val="es-ES"/>
        </w:rPr>
        <w:t xml:space="preserve">según enmendado, </w:t>
      </w:r>
      <w:r w:rsidR="007F53C9" w:rsidRPr="007F53C9">
        <w:rPr>
          <w:rFonts w:ascii="Book Antiqua" w:hAnsi="Book Antiqua"/>
          <w:lang w:val="es-ES"/>
        </w:rPr>
        <w:t xml:space="preserve">conocido como </w:t>
      </w:r>
      <w:r w:rsidR="007F53C9" w:rsidRPr="007F53C9">
        <w:rPr>
          <w:rFonts w:ascii="Book Antiqua" w:hAnsi="Book Antiqua"/>
          <w:iCs/>
          <w:lang w:val="es-ES"/>
        </w:rPr>
        <w:t>“</w:t>
      </w:r>
      <w:r w:rsidR="007F53C9" w:rsidRPr="007F53C9">
        <w:rPr>
          <w:rFonts w:ascii="Book Antiqua" w:hAnsi="Book Antiqua"/>
          <w:lang w:val="es-ES"/>
        </w:rPr>
        <w:t xml:space="preserve">Plan de Reorganización del Departamento de Corrección y Rehabilitación de 2011”; enmendar </w:t>
      </w:r>
      <w:r w:rsidR="007F53C9" w:rsidRPr="00B46C8F">
        <w:rPr>
          <w:rFonts w:ascii="Book Antiqua" w:hAnsi="Book Antiqua"/>
          <w:lang w:val="es-ES"/>
        </w:rPr>
        <w:t>las Reglas 6.1 y</w:t>
      </w:r>
      <w:r w:rsidR="007F53C9" w:rsidRPr="007F53C9">
        <w:rPr>
          <w:rFonts w:ascii="Book Antiqua" w:hAnsi="Book Antiqua"/>
          <w:lang w:val="es-ES"/>
        </w:rPr>
        <w:t xml:space="preserve"> 218 de Procedimiento Criminal de 1963</w:t>
      </w:r>
      <w:r w:rsidR="007F53C9" w:rsidRPr="007F53C9">
        <w:rPr>
          <w:rFonts w:ascii="Book Antiqua" w:hAnsi="Book Antiqua"/>
          <w:iCs/>
          <w:lang w:val="es-ES"/>
        </w:rPr>
        <w:t>, según enmendadas</w:t>
      </w:r>
      <w:r w:rsidR="007F53C9" w:rsidRPr="007F53C9">
        <w:rPr>
          <w:rFonts w:ascii="Book Antiqua" w:hAnsi="Book Antiqua"/>
          <w:lang w:val="es-ES"/>
        </w:rPr>
        <w:t xml:space="preserve">; </w:t>
      </w:r>
      <w:r w:rsidR="007F53C9" w:rsidRPr="007F53C9">
        <w:rPr>
          <w:rFonts w:ascii="Book Antiqua" w:hAnsi="Book Antiqua"/>
          <w:iCs/>
          <w:lang w:val="es-ES"/>
        </w:rPr>
        <w:t xml:space="preserve">y añadir un nuevo inciso (i) al </w:t>
      </w:r>
      <w:r w:rsidR="007F53C9" w:rsidRPr="007F53C9">
        <w:rPr>
          <w:rFonts w:ascii="Book Antiqua" w:hAnsi="Book Antiqua"/>
          <w:lang w:val="es-ES"/>
        </w:rPr>
        <w:t>Artículo 2 de la Ley Núm. 259 de 3 de abril de 1946, según enmendada, conocida como “Ley de Sentencia Suspendida y Libertad a Prueba”, a los fines de revisar</w:t>
      </w:r>
      <w:r w:rsidR="007F53C9" w:rsidRPr="007F53C9">
        <w:rPr>
          <w:rFonts w:ascii="Book Antiqua" w:hAnsi="Book Antiqua"/>
          <w:iCs/>
          <w:lang w:val="es-ES"/>
        </w:rPr>
        <w:t xml:space="preserve"> la clasificación y</w:t>
      </w:r>
      <w:r w:rsidR="007F53C9" w:rsidRPr="007F53C9">
        <w:rPr>
          <w:rFonts w:ascii="Book Antiqua" w:hAnsi="Book Antiqua"/>
          <w:lang w:val="es-ES"/>
        </w:rPr>
        <w:t xml:space="preserve"> condiciones relacionadas a la modalidad de</w:t>
      </w:r>
      <w:r w:rsidR="007F53C9" w:rsidRPr="007F53C9">
        <w:rPr>
          <w:rFonts w:ascii="Book Antiqua" w:hAnsi="Book Antiqua"/>
          <w:iCs/>
          <w:lang w:val="es-ES"/>
        </w:rPr>
        <w:t xml:space="preserve"> irse a la fuga tras ocurrido un accidente que provoque grave daño corporal o la muerte de una persona</w:t>
      </w:r>
      <w:r w:rsidR="007F53C9" w:rsidRPr="007F53C9">
        <w:rPr>
          <w:rFonts w:ascii="Book Antiqua" w:hAnsi="Book Antiqua"/>
          <w:lang w:val="es-ES"/>
        </w:rPr>
        <w:t>;</w:t>
      </w:r>
      <w:r w:rsidR="007F53C9" w:rsidRPr="007F53C9">
        <w:rPr>
          <w:rFonts w:ascii="Book Antiqua" w:hAnsi="Book Antiqua"/>
          <w:iCs/>
          <w:lang w:val="es-ES"/>
        </w:rPr>
        <w:t xml:space="preserve"> establecer como mandatorio la imposición de supervisión electrónica; eliminar la fianza diferida, así como excluir de toda convicción por dicho delito la posibilidad de obtener una sentencia suspendida o libertad a prueba; disponer para el cumplimiento consecutivo de su pena;</w:t>
      </w:r>
      <w:r w:rsidR="007F53C9" w:rsidRPr="007F53C9">
        <w:rPr>
          <w:rFonts w:ascii="Book Antiqua" w:hAnsi="Book Antiqua"/>
          <w:lang w:val="es-ES"/>
        </w:rPr>
        <w:t xml:space="preserve"> y para otros fines relacionados.</w:t>
      </w:r>
      <w:r w:rsidR="007F53C9">
        <w:rPr>
          <w:rFonts w:ascii="Book Antiqua" w:hAnsi="Book Antiqua"/>
          <w:lang w:val="es-ES"/>
        </w:rPr>
        <w:t xml:space="preserve"> </w:t>
      </w:r>
    </w:p>
    <w:p w14:paraId="267B7E56" w14:textId="77777777" w:rsidR="00B46C8F" w:rsidRDefault="00B46C8F" w:rsidP="00C953E5">
      <w:pPr>
        <w:jc w:val="both"/>
        <w:rPr>
          <w:rFonts w:ascii="Book Antiqua" w:hAnsi="Book Antiqua"/>
          <w:lang w:val="es-ES_tradnl"/>
        </w:rPr>
      </w:pPr>
    </w:p>
    <w:p w14:paraId="263CC527" w14:textId="66BC7C35" w:rsidR="00B46C8F" w:rsidRDefault="00320E46" w:rsidP="00547D0B">
      <w:pPr>
        <w:ind w:firstLine="720"/>
        <w:jc w:val="both"/>
        <w:rPr>
          <w:rFonts w:ascii="Book Antiqua" w:hAnsi="Book Antiqua"/>
          <w:iCs/>
          <w:lang w:val="es-ES"/>
        </w:rPr>
      </w:pPr>
      <w:r w:rsidRPr="007F53C9">
        <w:rPr>
          <w:rFonts w:ascii="Book Antiqua" w:hAnsi="Book Antiqua"/>
          <w:lang w:val="es-ES_tradnl"/>
        </w:rPr>
        <w:lastRenderedPageBreak/>
        <w:t xml:space="preserve">En su Exposición de Motivos, el </w:t>
      </w:r>
      <w:r w:rsidR="009517F3" w:rsidRPr="007F53C9">
        <w:rPr>
          <w:rFonts w:ascii="Book Antiqua" w:hAnsi="Book Antiqua"/>
          <w:lang w:val="es-ES_tradnl"/>
        </w:rPr>
        <w:t xml:space="preserve">P. de la C. 1957 </w:t>
      </w:r>
      <w:r w:rsidR="00B46C8F">
        <w:rPr>
          <w:rFonts w:ascii="Book Antiqua" w:hAnsi="Book Antiqua"/>
          <w:lang w:val="es-ES_tradnl"/>
        </w:rPr>
        <w:t xml:space="preserve">indica que </w:t>
      </w:r>
      <w:r w:rsidR="00B46C8F" w:rsidRPr="00B46C8F">
        <w:rPr>
          <w:rFonts w:ascii="Book Antiqua" w:hAnsi="Book Antiqua"/>
          <w:lang w:val="es-ES"/>
        </w:rPr>
        <w:t xml:space="preserve">recientemente </w:t>
      </w:r>
      <w:r w:rsidR="00B46C8F" w:rsidRPr="00B46C8F">
        <w:rPr>
          <w:rFonts w:ascii="Book Antiqua" w:hAnsi="Book Antiqua"/>
          <w:iCs/>
          <w:lang w:val="es-ES"/>
        </w:rPr>
        <w:t xml:space="preserve">se ha experimentado </w:t>
      </w:r>
      <w:r w:rsidR="00B46C8F" w:rsidRPr="00B46C8F">
        <w:rPr>
          <w:rFonts w:ascii="Book Antiqua" w:hAnsi="Book Antiqua"/>
          <w:lang w:val="es-ES"/>
        </w:rPr>
        <w:t>un incremento en casos donde ocurren accidentes de tránsito y una de las partes involucradas abandona el lugar. En dichos accidentes, lamentablemente, se tienen pérdidas cuantiosas e incluso se sufren daños que</w:t>
      </w:r>
      <w:r w:rsidR="00B46C8F" w:rsidRPr="00B46C8F">
        <w:rPr>
          <w:rFonts w:ascii="Book Antiqua" w:hAnsi="Book Antiqua"/>
          <w:iCs/>
          <w:lang w:val="es-ES"/>
        </w:rPr>
        <w:t>,</w:t>
      </w:r>
      <w:r w:rsidR="00B46C8F" w:rsidRPr="00B46C8F">
        <w:rPr>
          <w:rFonts w:ascii="Book Antiqua" w:hAnsi="Book Antiqua"/>
          <w:lang w:val="es-ES"/>
        </w:rPr>
        <w:t xml:space="preserve"> en el peor de los casos, pueden provocar grave lesión corporal o hasta la muerte de ciudadanos sin distinción</w:t>
      </w:r>
      <w:r w:rsidR="00B46C8F" w:rsidRPr="00B46C8F">
        <w:rPr>
          <w:rFonts w:ascii="Book Antiqua" w:hAnsi="Book Antiqua"/>
          <w:iCs/>
          <w:lang w:val="es-ES"/>
        </w:rPr>
        <w:t xml:space="preserve"> alguna.</w:t>
      </w:r>
    </w:p>
    <w:p w14:paraId="61FB0F55" w14:textId="77777777" w:rsidR="00547D0B" w:rsidRPr="00547D0B" w:rsidRDefault="00547D0B" w:rsidP="00547D0B">
      <w:pPr>
        <w:ind w:firstLine="720"/>
        <w:jc w:val="both"/>
        <w:rPr>
          <w:rFonts w:ascii="Book Antiqua" w:hAnsi="Book Antiqua"/>
          <w:iCs/>
          <w:lang w:val="es-ES"/>
        </w:rPr>
      </w:pPr>
    </w:p>
    <w:p w14:paraId="74E49896" w14:textId="5D0E8057" w:rsidR="00B46C8F" w:rsidRPr="00B46C8F" w:rsidRDefault="00B46C8F" w:rsidP="001C0089">
      <w:pPr>
        <w:ind w:firstLine="720"/>
        <w:jc w:val="both"/>
        <w:rPr>
          <w:rFonts w:ascii="Book Antiqua" w:hAnsi="Book Antiqua"/>
          <w:lang w:val="es-ES"/>
        </w:rPr>
      </w:pPr>
      <w:r w:rsidRPr="00B46C8F">
        <w:rPr>
          <w:rFonts w:ascii="Book Antiqua" w:hAnsi="Book Antiqua"/>
          <w:lang w:val="es-ES"/>
        </w:rPr>
        <w:t>Este fue el caso de Natalia Nicole Ayala Rivera, una joven de</w:t>
      </w:r>
      <w:r w:rsidR="00633ACA">
        <w:rPr>
          <w:rFonts w:ascii="Book Antiqua" w:hAnsi="Book Antiqua"/>
          <w:lang w:val="es-ES"/>
        </w:rPr>
        <w:t xml:space="preserve"> 20 años</w:t>
      </w:r>
      <w:r w:rsidRPr="00B46C8F">
        <w:rPr>
          <w:rFonts w:ascii="Book Antiqua" w:hAnsi="Book Antiqua"/>
          <w:lang w:val="es-ES"/>
        </w:rPr>
        <w:t xml:space="preserve"> que falleció el 5 de enero de 2022 ante las heridas provocadas por un conductor negligente que la impactó con su vehículo de motor y abandonó la escena, un acto cruel e inhumano que le privó de atención médica inmediata. El joven Carlos </w:t>
      </w:r>
      <w:proofErr w:type="spellStart"/>
      <w:r w:rsidRPr="00B46C8F">
        <w:rPr>
          <w:rFonts w:ascii="Book Antiqua" w:hAnsi="Book Antiqua"/>
          <w:lang w:val="es-ES"/>
        </w:rPr>
        <w:t>Adih</w:t>
      </w:r>
      <w:proofErr w:type="spellEnd"/>
      <w:r w:rsidRPr="00B46C8F">
        <w:rPr>
          <w:rFonts w:ascii="Book Antiqua" w:hAnsi="Book Antiqua"/>
          <w:lang w:val="es-ES"/>
        </w:rPr>
        <w:t xml:space="preserve"> Sosa </w:t>
      </w:r>
      <w:proofErr w:type="spellStart"/>
      <w:r w:rsidRPr="00B46C8F">
        <w:rPr>
          <w:rFonts w:ascii="Book Antiqua" w:hAnsi="Book Antiqua"/>
          <w:lang w:val="es-ES"/>
        </w:rPr>
        <w:t>Bigio</w:t>
      </w:r>
      <w:proofErr w:type="spellEnd"/>
      <w:r w:rsidRPr="00B46C8F">
        <w:rPr>
          <w:rFonts w:ascii="Book Antiqua" w:hAnsi="Book Antiqua"/>
          <w:lang w:val="es-ES"/>
        </w:rPr>
        <w:t xml:space="preserve">, testigo principal del Estado y sobreviviente de este acto delictivo, logró trasladar a Natalia Nicole a una institución hospitalaria, donde lamentablemente perdió la vida. </w:t>
      </w:r>
    </w:p>
    <w:p w14:paraId="1192F1B2" w14:textId="77777777" w:rsidR="00B46C8F" w:rsidRDefault="00B46C8F" w:rsidP="00B46C8F">
      <w:pPr>
        <w:jc w:val="both"/>
        <w:rPr>
          <w:rFonts w:ascii="Book Antiqua" w:hAnsi="Book Antiqua"/>
          <w:lang w:val="es-ES"/>
        </w:rPr>
      </w:pPr>
    </w:p>
    <w:p w14:paraId="1B13AC7A" w14:textId="28CDBDAF" w:rsidR="00320E46" w:rsidRPr="00B46C8F" w:rsidRDefault="00B46C8F" w:rsidP="001C0089">
      <w:pPr>
        <w:ind w:firstLine="720"/>
        <w:jc w:val="both"/>
        <w:rPr>
          <w:rFonts w:ascii="Book Antiqua" w:hAnsi="Book Antiqua"/>
          <w:lang w:val="es-ES"/>
        </w:rPr>
      </w:pPr>
      <w:r w:rsidRPr="00B46C8F">
        <w:rPr>
          <w:rFonts w:ascii="Book Antiqua" w:hAnsi="Book Antiqua"/>
          <w:lang w:val="es-ES"/>
        </w:rPr>
        <w:t>La persona responsable fue declarada culpable de tres (3) cargos sancionados en la Ley 22-2000, según enmendada, luego de que el Ministerio Público probara las alegaciones en su contra “más allá de duda razonable”.</w:t>
      </w:r>
      <w:r>
        <w:rPr>
          <w:rFonts w:ascii="Book Antiqua" w:hAnsi="Book Antiqua"/>
          <w:lang w:val="es-ES"/>
        </w:rPr>
        <w:t xml:space="preserve"> </w:t>
      </w:r>
      <w:r w:rsidRPr="00B46C8F">
        <w:rPr>
          <w:rFonts w:ascii="Book Antiqua" w:hAnsi="Book Antiqua"/>
          <w:lang w:val="es-ES"/>
        </w:rPr>
        <w:t>Esta convicción incluyó el delito de homicidio negligente con el agravante de fuga y el delito de proveer información falsa con el propósito de obstruir la justicia. No obstante, el Tribunal ordenó que la sentencia impuesta se cumpliera en su totalidad bajo el privilegio de sentencia suspendida, ante las deficiencias estructurales de un estatuto que le permite a una persona que incurre en el agravante de fuga, reclamar un trato preferencial mediante el modelo alternativo de penas, luego de causarle grave daño corporal o la muerte a una víctima inocente.</w:t>
      </w:r>
    </w:p>
    <w:p w14:paraId="644E266F" w14:textId="77777777" w:rsidR="001C0089" w:rsidRDefault="001C0089" w:rsidP="001701E4">
      <w:pPr>
        <w:jc w:val="both"/>
        <w:rPr>
          <w:rFonts w:ascii="Book Antiqua" w:hAnsi="Book Antiqua"/>
          <w:szCs w:val="24"/>
          <w:lang w:val="es-ES" w:eastAsia="es-PR"/>
        </w:rPr>
      </w:pPr>
    </w:p>
    <w:p w14:paraId="1747E6E5" w14:textId="77777777" w:rsidR="00633ACA" w:rsidRDefault="00633ACA" w:rsidP="00633ACA">
      <w:pPr>
        <w:ind w:firstLine="720"/>
        <w:jc w:val="both"/>
        <w:rPr>
          <w:rFonts w:ascii="Book Antiqua" w:hAnsi="Book Antiqua"/>
          <w:szCs w:val="24"/>
          <w:lang w:val="es-ES" w:eastAsia="es-PR"/>
        </w:rPr>
      </w:pPr>
      <w:r w:rsidRPr="00633ACA">
        <w:rPr>
          <w:rFonts w:ascii="Book Antiqua" w:hAnsi="Book Antiqua"/>
          <w:szCs w:val="24"/>
          <w:lang w:val="es-ES" w:eastAsia="es-PR"/>
        </w:rPr>
        <w:t xml:space="preserve">El Gobierno de Puerto Rico reconoce que una política pública contundente para promover la seguridad vial representa la estrategia idónea para prevenir accidentes de tránsito, proteger a los peatones del riesgo sustancial provocado por un conductor negligente, reducir el número de fatalidades y contrarrestar la alta incidencia de sobrevivientes con un diagnóstico de grave daño corporal. En este contexto, la Ley 22-2000, según enmendada, establece una estructura de penas severas para sancionar a los conductores que violenten las disposiciones de este mandato, con el objetivo de prevenir que incidentes similares se susciten en el futuro. </w:t>
      </w:r>
    </w:p>
    <w:p w14:paraId="0514E0C1" w14:textId="77777777" w:rsidR="00633ACA" w:rsidRPr="00633ACA" w:rsidRDefault="00633ACA" w:rsidP="00633ACA">
      <w:pPr>
        <w:ind w:firstLine="720"/>
        <w:jc w:val="both"/>
        <w:rPr>
          <w:rFonts w:ascii="Book Antiqua" w:hAnsi="Book Antiqua"/>
          <w:szCs w:val="24"/>
          <w:lang w:val="es-ES" w:eastAsia="es-PR"/>
        </w:rPr>
      </w:pPr>
    </w:p>
    <w:p w14:paraId="554737C2" w14:textId="3C71A566" w:rsidR="00633ACA" w:rsidRDefault="00633ACA" w:rsidP="00633ACA">
      <w:pPr>
        <w:ind w:firstLine="720"/>
        <w:jc w:val="both"/>
        <w:rPr>
          <w:rFonts w:ascii="Book Antiqua" w:hAnsi="Book Antiqua"/>
          <w:szCs w:val="24"/>
          <w:lang w:val="es-ES" w:eastAsia="es-PR"/>
        </w:rPr>
      </w:pPr>
      <w:r w:rsidRPr="00633ACA">
        <w:rPr>
          <w:rFonts w:ascii="Book Antiqua" w:hAnsi="Book Antiqua"/>
          <w:szCs w:val="24"/>
          <w:lang w:val="es-ES" w:eastAsia="es-PR"/>
        </w:rPr>
        <w:t>No obstante, las penas altas no son suficientes para contrarrestar los daños provocados por conductores negligentes, quienes asumen el riesgo sustancial e injustificado de transitar de forma temeraria o bajo los efectos de bebidas embriagantes. Por lo tanto, es necesario diseñar un esquema de procesamiento coherente que permita eliminar los subterfugios existentes para imponer un castigo proporcional a la severidad de los actos imputados y evitar que la concesión de privilegios promueva una cultura de impunidad donde las víctimas del crimen estén desprovistas de un remedio compatible con los daños experimentados.</w:t>
      </w:r>
    </w:p>
    <w:p w14:paraId="62687340" w14:textId="77777777" w:rsidR="001701E4" w:rsidRDefault="001701E4" w:rsidP="00633ACA">
      <w:pPr>
        <w:ind w:firstLine="720"/>
        <w:jc w:val="both"/>
        <w:rPr>
          <w:rFonts w:ascii="Book Antiqua" w:hAnsi="Book Antiqua"/>
          <w:szCs w:val="24"/>
          <w:lang w:val="es-ES" w:eastAsia="es-PR"/>
        </w:rPr>
      </w:pPr>
    </w:p>
    <w:p w14:paraId="6F1CF039" w14:textId="00A83067" w:rsidR="001701E4" w:rsidRDefault="001701E4" w:rsidP="001701E4">
      <w:pPr>
        <w:ind w:firstLine="720"/>
        <w:jc w:val="both"/>
        <w:rPr>
          <w:rFonts w:ascii="Book Antiqua" w:hAnsi="Book Antiqua"/>
          <w:szCs w:val="24"/>
          <w:lang w:val="es-ES" w:eastAsia="es-PR"/>
        </w:rPr>
      </w:pPr>
      <w:r w:rsidRPr="001701E4">
        <w:rPr>
          <w:rFonts w:ascii="Book Antiqua" w:hAnsi="Book Antiqua"/>
          <w:szCs w:val="24"/>
          <w:lang w:val="es-ES" w:eastAsia="es-PR"/>
        </w:rPr>
        <w:lastRenderedPageBreak/>
        <w:t>Este es el caso de los victimarios por un delito de “hit and run”, una práctica lesiva y reprobable sancionada por nuestro ordenamiento</w:t>
      </w:r>
      <w:r>
        <w:rPr>
          <w:rFonts w:ascii="Book Antiqua" w:hAnsi="Book Antiqua"/>
          <w:szCs w:val="24"/>
          <w:lang w:val="es-ES" w:eastAsia="es-PR"/>
        </w:rPr>
        <w:t>,</w:t>
      </w:r>
      <w:r w:rsidRPr="001701E4">
        <w:rPr>
          <w:rFonts w:ascii="Book Antiqua" w:hAnsi="Book Antiqua"/>
          <w:szCs w:val="24"/>
          <w:lang w:val="es-ES" w:eastAsia="es-PR"/>
        </w:rPr>
        <w:t xml:space="preserve"> donde el conductor le provoca grave daño corporal a la víctima o le ocasiona la muerte, y abandona la escena sin ninguna justificación en derecho.</w:t>
      </w:r>
      <w:r>
        <w:rPr>
          <w:rFonts w:ascii="Book Antiqua" w:hAnsi="Book Antiqua"/>
          <w:szCs w:val="24"/>
          <w:lang w:val="es-ES" w:eastAsia="es-PR"/>
        </w:rPr>
        <w:t xml:space="preserve"> </w:t>
      </w:r>
      <w:r w:rsidRPr="001701E4">
        <w:rPr>
          <w:rFonts w:ascii="Book Antiqua" w:hAnsi="Book Antiqua"/>
          <w:szCs w:val="24"/>
          <w:lang w:val="es-ES" w:eastAsia="es-PR"/>
        </w:rPr>
        <w:t xml:space="preserve">Esta actuación criminal reduce las posibilidades de supervivencia de la víctima y, en escenarios más conservadores, agudiza los daños ocasionados. No obstante, la pena vigente es extremadamente </w:t>
      </w:r>
      <w:proofErr w:type="spellStart"/>
      <w:r w:rsidRPr="001701E4">
        <w:rPr>
          <w:rFonts w:ascii="Book Antiqua" w:hAnsi="Book Antiqua"/>
          <w:szCs w:val="24"/>
          <w:lang w:val="es-ES" w:eastAsia="es-PR"/>
        </w:rPr>
        <w:t>leniente</w:t>
      </w:r>
      <w:proofErr w:type="spellEnd"/>
      <w:r w:rsidRPr="001701E4">
        <w:rPr>
          <w:rFonts w:ascii="Book Antiqua" w:hAnsi="Book Antiqua"/>
          <w:szCs w:val="24"/>
          <w:lang w:val="es-ES" w:eastAsia="es-PR"/>
        </w:rPr>
        <w:t xml:space="preserve">, al concederle la alternativa de libertad supervisada u otras opciones de desvío, a pesar de que los hechos probados más allá de duda razonable demuestren un claro menosprecio por la vida. </w:t>
      </w:r>
    </w:p>
    <w:p w14:paraId="4D95A357" w14:textId="77777777" w:rsidR="001701E4" w:rsidRDefault="001701E4" w:rsidP="001701E4">
      <w:pPr>
        <w:ind w:firstLine="720"/>
        <w:jc w:val="both"/>
        <w:rPr>
          <w:rFonts w:ascii="Book Antiqua" w:hAnsi="Book Antiqua"/>
          <w:szCs w:val="24"/>
          <w:lang w:val="es-ES" w:eastAsia="es-PR"/>
        </w:rPr>
      </w:pPr>
    </w:p>
    <w:p w14:paraId="7705E395" w14:textId="1B6B038A" w:rsidR="001701E4" w:rsidRDefault="001701E4" w:rsidP="001701E4">
      <w:pPr>
        <w:ind w:firstLine="720"/>
        <w:jc w:val="both"/>
        <w:rPr>
          <w:rFonts w:ascii="Book Antiqua" w:hAnsi="Book Antiqua"/>
          <w:szCs w:val="24"/>
          <w:lang w:val="es-ES" w:eastAsia="es-PR"/>
        </w:rPr>
      </w:pPr>
      <w:r w:rsidRPr="001701E4">
        <w:rPr>
          <w:rFonts w:ascii="Book Antiqua" w:hAnsi="Book Antiqua"/>
          <w:szCs w:val="24"/>
          <w:lang w:val="es-ES" w:eastAsia="es-PR"/>
        </w:rPr>
        <w:t xml:space="preserve">Ante esta realidad, </w:t>
      </w:r>
      <w:r>
        <w:rPr>
          <w:rFonts w:ascii="Book Antiqua" w:hAnsi="Book Antiqua"/>
          <w:szCs w:val="24"/>
          <w:lang w:val="es-ES" w:eastAsia="es-PR"/>
        </w:rPr>
        <w:t xml:space="preserve">el P. de la C. 1957 </w:t>
      </w:r>
      <w:r w:rsidRPr="001701E4">
        <w:rPr>
          <w:rFonts w:ascii="Book Antiqua" w:hAnsi="Book Antiqua"/>
          <w:szCs w:val="24"/>
          <w:lang w:val="es-ES" w:eastAsia="es-PR"/>
        </w:rPr>
        <w:t xml:space="preserve">declara una política pública de </w:t>
      </w:r>
      <w:proofErr w:type="gramStart"/>
      <w:r w:rsidRPr="001701E4">
        <w:rPr>
          <w:rFonts w:ascii="Book Antiqua" w:hAnsi="Book Antiqua"/>
          <w:szCs w:val="24"/>
          <w:lang w:val="es-ES" w:eastAsia="es-PR"/>
        </w:rPr>
        <w:t>cero tolerancia</w:t>
      </w:r>
      <w:proofErr w:type="gramEnd"/>
      <w:r w:rsidRPr="001701E4">
        <w:rPr>
          <w:rFonts w:ascii="Book Antiqua" w:hAnsi="Book Antiqua"/>
          <w:szCs w:val="24"/>
          <w:lang w:val="es-ES" w:eastAsia="es-PR"/>
        </w:rPr>
        <w:t xml:space="preserve"> contra los convictos por ocasionar grave daño corporal o la muerte a una víctima inocente</w:t>
      </w:r>
      <w:r>
        <w:rPr>
          <w:rFonts w:ascii="Book Antiqua" w:hAnsi="Book Antiqua"/>
          <w:szCs w:val="24"/>
          <w:lang w:val="es-ES" w:eastAsia="es-PR"/>
        </w:rPr>
        <w:t>,</w:t>
      </w:r>
      <w:r w:rsidRPr="001701E4">
        <w:rPr>
          <w:rFonts w:ascii="Book Antiqua" w:hAnsi="Book Antiqua"/>
          <w:szCs w:val="24"/>
          <w:lang w:val="es-ES" w:eastAsia="es-PR"/>
        </w:rPr>
        <w:t xml:space="preserve"> que simultáneamente incurren en el agravante de fuga. Este acto reprobable, criminal e inhumano requiere una acción contundente por parte del Estado.</w:t>
      </w:r>
    </w:p>
    <w:p w14:paraId="2BC00B20" w14:textId="77777777" w:rsidR="00633ACA" w:rsidRDefault="00633ACA" w:rsidP="00633ACA">
      <w:pPr>
        <w:ind w:firstLine="720"/>
        <w:jc w:val="both"/>
        <w:rPr>
          <w:rFonts w:ascii="Book Antiqua" w:hAnsi="Book Antiqua"/>
          <w:szCs w:val="24"/>
          <w:lang w:val="es-ES" w:eastAsia="es-PR"/>
        </w:rPr>
      </w:pPr>
    </w:p>
    <w:p w14:paraId="684E006B" w14:textId="77777777" w:rsidR="001701E4" w:rsidRDefault="001701E4" w:rsidP="001701E4">
      <w:pPr>
        <w:ind w:firstLine="720"/>
        <w:jc w:val="both"/>
        <w:rPr>
          <w:rFonts w:ascii="Book Antiqua" w:hAnsi="Book Antiqua"/>
          <w:szCs w:val="24"/>
          <w:lang w:val="es-ES" w:eastAsia="es-PR"/>
        </w:rPr>
      </w:pPr>
      <w:r w:rsidRPr="001701E4">
        <w:rPr>
          <w:rFonts w:ascii="Book Antiqua" w:hAnsi="Book Antiqua"/>
          <w:szCs w:val="24"/>
          <w:lang w:val="es-ES" w:eastAsia="es-PR"/>
        </w:rPr>
        <w:t>La reformulación doctrinal propuesta se centra en tres áreas fundamentales:</w:t>
      </w:r>
    </w:p>
    <w:p w14:paraId="13EB482C" w14:textId="77777777" w:rsidR="001701E4" w:rsidRPr="001701E4" w:rsidRDefault="001701E4" w:rsidP="001701E4">
      <w:pPr>
        <w:ind w:firstLine="720"/>
        <w:jc w:val="both"/>
        <w:rPr>
          <w:rFonts w:ascii="Book Antiqua" w:hAnsi="Book Antiqua"/>
          <w:szCs w:val="24"/>
          <w:lang w:val="es-ES" w:eastAsia="es-PR"/>
        </w:rPr>
      </w:pPr>
    </w:p>
    <w:p w14:paraId="1372F885" w14:textId="0E0B4A18" w:rsidR="001701E4" w:rsidRDefault="001701E4" w:rsidP="001701E4">
      <w:pPr>
        <w:pStyle w:val="ListParagraph"/>
        <w:numPr>
          <w:ilvl w:val="0"/>
          <w:numId w:val="6"/>
        </w:numPr>
        <w:jc w:val="both"/>
        <w:rPr>
          <w:rFonts w:ascii="Book Antiqua" w:hAnsi="Book Antiqua"/>
          <w:szCs w:val="24"/>
          <w:lang w:val="es-ES" w:eastAsia="es-PR"/>
        </w:rPr>
      </w:pPr>
      <w:r w:rsidRPr="001701E4">
        <w:rPr>
          <w:rFonts w:ascii="Book Antiqua" w:hAnsi="Book Antiqua"/>
          <w:szCs w:val="24"/>
          <w:lang w:val="es-ES" w:eastAsia="es-PR"/>
        </w:rPr>
        <w:t>Sancionar con mayor severidad a los conductores que abandonen la escena, luego de provocarle grave daño corporal o causarle la muerte a una víctima inocente como resultado de la temeridad o negligencia al conducir un vehículo de motor;</w:t>
      </w:r>
    </w:p>
    <w:p w14:paraId="6A8833B6" w14:textId="77777777" w:rsidR="001701E4" w:rsidRPr="001701E4" w:rsidRDefault="001701E4" w:rsidP="001701E4">
      <w:pPr>
        <w:pStyle w:val="ListParagraph"/>
        <w:jc w:val="both"/>
        <w:rPr>
          <w:rFonts w:ascii="Book Antiqua" w:hAnsi="Book Antiqua"/>
          <w:szCs w:val="24"/>
          <w:lang w:val="es-ES" w:eastAsia="es-PR"/>
        </w:rPr>
      </w:pPr>
    </w:p>
    <w:p w14:paraId="3CB4C329" w14:textId="30D100CD" w:rsidR="001701E4" w:rsidRDefault="001701E4" w:rsidP="001701E4">
      <w:pPr>
        <w:pStyle w:val="ListParagraph"/>
        <w:numPr>
          <w:ilvl w:val="0"/>
          <w:numId w:val="6"/>
        </w:numPr>
        <w:jc w:val="both"/>
        <w:rPr>
          <w:rFonts w:ascii="Book Antiqua" w:hAnsi="Book Antiqua"/>
          <w:szCs w:val="24"/>
          <w:lang w:val="es-ES" w:eastAsia="es-PR"/>
        </w:rPr>
      </w:pPr>
      <w:r w:rsidRPr="001701E4">
        <w:rPr>
          <w:rFonts w:ascii="Book Antiqua" w:hAnsi="Book Antiqua"/>
          <w:szCs w:val="24"/>
          <w:lang w:val="es-ES" w:eastAsia="es-PR"/>
        </w:rPr>
        <w:t xml:space="preserve">Imponer una pena </w:t>
      </w:r>
      <w:proofErr w:type="spellStart"/>
      <w:r w:rsidRPr="001701E4">
        <w:rPr>
          <w:rFonts w:ascii="Book Antiqua" w:hAnsi="Book Antiqua"/>
          <w:szCs w:val="24"/>
          <w:lang w:val="es-ES" w:eastAsia="es-PR"/>
        </w:rPr>
        <w:t>mandatoria</w:t>
      </w:r>
      <w:proofErr w:type="spellEnd"/>
      <w:r w:rsidRPr="001701E4">
        <w:rPr>
          <w:rFonts w:ascii="Book Antiqua" w:hAnsi="Book Antiqua"/>
          <w:szCs w:val="24"/>
          <w:lang w:val="es-ES" w:eastAsia="es-PR"/>
        </w:rPr>
        <w:t xml:space="preserve"> de cárcel, sin el beneficio de una sentencia suspendida o la oportunidad de participar de un programa de desvío, para sancionar las actuaciones descritas en los incisos (b) y (c) del Artículo 4.02 y los incisos (b) y (c) del Artículo 5.07 de la Ley 22-2000, según enmendada, cuando se configura el agravante de fuga;</w:t>
      </w:r>
    </w:p>
    <w:p w14:paraId="2EEFBFEA" w14:textId="77777777" w:rsidR="001701E4" w:rsidRPr="001701E4" w:rsidRDefault="001701E4" w:rsidP="001701E4">
      <w:pPr>
        <w:pStyle w:val="ListParagraph"/>
        <w:jc w:val="both"/>
        <w:rPr>
          <w:rFonts w:ascii="Book Antiqua" w:hAnsi="Book Antiqua"/>
          <w:szCs w:val="24"/>
          <w:lang w:val="es-ES" w:eastAsia="es-PR"/>
        </w:rPr>
      </w:pPr>
    </w:p>
    <w:p w14:paraId="331FC53A" w14:textId="588232AD" w:rsidR="001701E4" w:rsidRPr="001701E4" w:rsidRDefault="001701E4" w:rsidP="001701E4">
      <w:pPr>
        <w:pStyle w:val="ListParagraph"/>
        <w:numPr>
          <w:ilvl w:val="0"/>
          <w:numId w:val="6"/>
        </w:numPr>
        <w:jc w:val="both"/>
        <w:rPr>
          <w:rFonts w:ascii="Book Antiqua" w:hAnsi="Book Antiqua"/>
          <w:szCs w:val="24"/>
          <w:lang w:val="es-ES" w:eastAsia="es-PR"/>
        </w:rPr>
      </w:pPr>
      <w:r w:rsidRPr="001701E4">
        <w:rPr>
          <w:rFonts w:ascii="Book Antiqua" w:hAnsi="Book Antiqua"/>
          <w:szCs w:val="24"/>
          <w:lang w:val="es-ES" w:eastAsia="es-PR"/>
        </w:rPr>
        <w:t>Delimitar la discreción judicial al requerir la imposición de supervisión electrónica cuando exista una determinación de causa probable para arresto o causa probable para arresto en alzada, según corresponda, por los delitos dispuestos en el inciso anterior, ante el riesgo real e inmediato de que la persona sospechosa evada la jurisdicción.</w:t>
      </w:r>
    </w:p>
    <w:p w14:paraId="6582DFAF" w14:textId="77777777" w:rsidR="00633ACA" w:rsidRDefault="00633ACA" w:rsidP="00633ACA">
      <w:pPr>
        <w:ind w:firstLine="720"/>
        <w:jc w:val="both"/>
        <w:rPr>
          <w:rFonts w:ascii="Book Antiqua" w:hAnsi="Book Antiqua"/>
          <w:szCs w:val="24"/>
          <w:lang w:val="es-ES" w:eastAsia="es-PR"/>
        </w:rPr>
      </w:pPr>
    </w:p>
    <w:p w14:paraId="6199F1EB" w14:textId="23F3FEEC" w:rsidR="001701E4" w:rsidRDefault="001701E4" w:rsidP="001701E4">
      <w:pPr>
        <w:ind w:firstLine="720"/>
        <w:jc w:val="both"/>
        <w:rPr>
          <w:rFonts w:ascii="Book Antiqua" w:hAnsi="Book Antiqua"/>
          <w:szCs w:val="24"/>
          <w:lang w:val="es-ES" w:eastAsia="es-PR"/>
        </w:rPr>
      </w:pPr>
      <w:r w:rsidRPr="001701E4">
        <w:rPr>
          <w:rFonts w:ascii="Book Antiqua" w:hAnsi="Book Antiqua"/>
          <w:szCs w:val="24"/>
          <w:lang w:val="es-ES" w:eastAsia="es-PR"/>
        </w:rPr>
        <w:t xml:space="preserve">De esta forma, </w:t>
      </w:r>
      <w:r>
        <w:rPr>
          <w:rFonts w:ascii="Book Antiqua" w:hAnsi="Book Antiqua"/>
          <w:szCs w:val="24"/>
          <w:lang w:val="es-ES" w:eastAsia="es-PR"/>
        </w:rPr>
        <w:t>se</w:t>
      </w:r>
      <w:r w:rsidRPr="001701E4">
        <w:rPr>
          <w:rFonts w:ascii="Book Antiqua" w:hAnsi="Book Antiqua"/>
          <w:szCs w:val="24"/>
          <w:lang w:val="es-ES" w:eastAsia="es-PR"/>
        </w:rPr>
        <w:t xml:space="preserve"> honra el legado de Natalia Nicole Ayala Rivera, víctima inocente de un conductor negligente </w:t>
      </w:r>
      <w:r>
        <w:rPr>
          <w:rFonts w:ascii="Book Antiqua" w:hAnsi="Book Antiqua"/>
          <w:szCs w:val="24"/>
          <w:lang w:val="es-ES" w:eastAsia="es-PR"/>
        </w:rPr>
        <w:t>que</w:t>
      </w:r>
      <w:r w:rsidRPr="001701E4">
        <w:rPr>
          <w:rFonts w:ascii="Book Antiqua" w:hAnsi="Book Antiqua"/>
          <w:szCs w:val="24"/>
          <w:lang w:val="es-ES" w:eastAsia="es-PR"/>
        </w:rPr>
        <w:t xml:space="preserve"> se benefició de una sentencia suspendida, a pesar de la temeridad de los actos probados más allá de duda razonable ante un Tribunal. En honor a la memoria de Natalia Nicole, ninguna persona que demuestre un claro menosprecio a la vida de una víctima inocente podrá ser acreedor de una pena </w:t>
      </w:r>
      <w:proofErr w:type="spellStart"/>
      <w:r w:rsidRPr="001701E4">
        <w:rPr>
          <w:rFonts w:ascii="Book Antiqua" w:hAnsi="Book Antiqua"/>
          <w:szCs w:val="24"/>
          <w:lang w:val="es-ES" w:eastAsia="es-PR"/>
        </w:rPr>
        <w:t>leniente</w:t>
      </w:r>
      <w:proofErr w:type="spellEnd"/>
      <w:r w:rsidRPr="001701E4">
        <w:rPr>
          <w:rFonts w:ascii="Book Antiqua" w:hAnsi="Book Antiqua"/>
          <w:szCs w:val="24"/>
          <w:lang w:val="es-ES" w:eastAsia="es-PR"/>
        </w:rPr>
        <w:t xml:space="preserve"> o un trato privilegiado mientras extingue la sentencia.</w:t>
      </w:r>
    </w:p>
    <w:p w14:paraId="07C9A9FB" w14:textId="77777777" w:rsidR="001701E4" w:rsidRPr="001701E4" w:rsidRDefault="001701E4" w:rsidP="001701E4">
      <w:pPr>
        <w:ind w:firstLine="720"/>
        <w:jc w:val="both"/>
        <w:rPr>
          <w:rFonts w:ascii="Book Antiqua" w:hAnsi="Book Antiqua"/>
          <w:szCs w:val="24"/>
          <w:lang w:val="es-ES" w:eastAsia="es-PR"/>
        </w:rPr>
      </w:pPr>
    </w:p>
    <w:p w14:paraId="2327DBA2" w14:textId="1778394B" w:rsidR="001701E4" w:rsidRDefault="001701E4" w:rsidP="001701E4">
      <w:pPr>
        <w:ind w:firstLine="720"/>
        <w:jc w:val="both"/>
        <w:rPr>
          <w:rFonts w:ascii="Book Antiqua" w:hAnsi="Book Antiqua"/>
          <w:szCs w:val="24"/>
          <w:lang w:val="es-ES" w:eastAsia="es-PR"/>
        </w:rPr>
      </w:pPr>
      <w:r w:rsidRPr="001701E4">
        <w:rPr>
          <w:rFonts w:ascii="Book Antiqua" w:hAnsi="Book Antiqua"/>
          <w:szCs w:val="24"/>
          <w:lang w:val="es-ES" w:eastAsia="es-PR"/>
        </w:rPr>
        <w:t xml:space="preserve">Por lo tanto, esta </w:t>
      </w:r>
      <w:r>
        <w:rPr>
          <w:rFonts w:ascii="Book Antiqua" w:hAnsi="Book Antiqua"/>
          <w:szCs w:val="24"/>
          <w:lang w:val="es-ES" w:eastAsia="es-PR"/>
        </w:rPr>
        <w:t>pieza legislativa</w:t>
      </w:r>
      <w:r w:rsidRPr="001701E4">
        <w:rPr>
          <w:rFonts w:ascii="Book Antiqua" w:hAnsi="Book Antiqua"/>
          <w:szCs w:val="24"/>
          <w:lang w:val="es-ES" w:eastAsia="es-PR"/>
        </w:rPr>
        <w:t xml:space="preserve"> subsana las deficiencias prevalecientes en nuestro estado de derecho, al excluir los delitos dispuestos en los incisos (b) y (c) del Artículo 4.02 y los incisos (b) y (c) del Artículo 5.07 de la Ley 22, supra, de los métodos </w:t>
      </w:r>
      <w:r w:rsidRPr="001701E4">
        <w:rPr>
          <w:rFonts w:ascii="Book Antiqua" w:hAnsi="Book Antiqua"/>
          <w:szCs w:val="24"/>
          <w:lang w:val="es-ES" w:eastAsia="es-PR"/>
        </w:rPr>
        <w:lastRenderedPageBreak/>
        <w:t>alternativos a la pena</w:t>
      </w:r>
      <w:r>
        <w:rPr>
          <w:rFonts w:ascii="Book Antiqua" w:hAnsi="Book Antiqua"/>
          <w:szCs w:val="24"/>
          <w:lang w:val="es-ES" w:eastAsia="es-PR"/>
        </w:rPr>
        <w:t>,</w:t>
      </w:r>
      <w:r w:rsidRPr="001701E4">
        <w:rPr>
          <w:rFonts w:ascii="Book Antiqua" w:hAnsi="Book Antiqua"/>
          <w:szCs w:val="24"/>
          <w:lang w:val="es-ES" w:eastAsia="es-PR"/>
        </w:rPr>
        <w:t xml:space="preserve"> e impone la pena </w:t>
      </w:r>
      <w:proofErr w:type="spellStart"/>
      <w:r w:rsidRPr="001701E4">
        <w:rPr>
          <w:rFonts w:ascii="Book Antiqua" w:hAnsi="Book Antiqua"/>
          <w:szCs w:val="24"/>
          <w:lang w:val="es-ES" w:eastAsia="es-PR"/>
        </w:rPr>
        <w:t>mandatoria</w:t>
      </w:r>
      <w:proofErr w:type="spellEnd"/>
      <w:r w:rsidRPr="001701E4">
        <w:rPr>
          <w:rFonts w:ascii="Book Antiqua" w:hAnsi="Book Antiqua"/>
          <w:szCs w:val="24"/>
          <w:lang w:val="es-ES" w:eastAsia="es-PR"/>
        </w:rPr>
        <w:t xml:space="preserve"> de cárcel como la única alternativa viable para sancionar esta conducta.</w:t>
      </w:r>
    </w:p>
    <w:p w14:paraId="7D8502D3" w14:textId="77777777" w:rsidR="00633ACA" w:rsidRDefault="00633ACA" w:rsidP="001C0089">
      <w:pPr>
        <w:ind w:firstLine="720"/>
        <w:jc w:val="both"/>
        <w:rPr>
          <w:rFonts w:ascii="Book Antiqua" w:hAnsi="Book Antiqua"/>
          <w:szCs w:val="24"/>
          <w:lang w:val="es-ES" w:eastAsia="es-PR"/>
        </w:rPr>
      </w:pPr>
    </w:p>
    <w:p w14:paraId="01EC04EC" w14:textId="263DE879" w:rsidR="00132596" w:rsidRDefault="00C953E5" w:rsidP="001C0089">
      <w:pPr>
        <w:pStyle w:val="NormalWeb"/>
        <w:spacing w:before="0" w:beforeAutospacing="0" w:after="0" w:afterAutospacing="0"/>
        <w:jc w:val="center"/>
        <w:rPr>
          <w:rFonts w:ascii="Book Antiqua" w:hAnsi="Book Antiqua"/>
          <w:b/>
        </w:rPr>
      </w:pPr>
      <w:r>
        <w:rPr>
          <w:rFonts w:ascii="Book Antiqua" w:hAnsi="Book Antiqua"/>
          <w:b/>
        </w:rPr>
        <w:t>ANÁLISIS DE LA MEDIDA</w:t>
      </w:r>
    </w:p>
    <w:p w14:paraId="14CFA5E6" w14:textId="77777777" w:rsidR="00132596" w:rsidRPr="00132596" w:rsidRDefault="00132596" w:rsidP="00132596">
      <w:pPr>
        <w:pStyle w:val="NormalWeb"/>
        <w:spacing w:before="0" w:beforeAutospacing="0" w:after="0" w:afterAutospacing="0"/>
        <w:ind w:firstLine="720"/>
        <w:jc w:val="center"/>
        <w:rPr>
          <w:rFonts w:ascii="Book Antiqua" w:hAnsi="Book Antiqua"/>
          <w:b/>
        </w:rPr>
      </w:pPr>
    </w:p>
    <w:p w14:paraId="222EB0D8" w14:textId="3BF610D1" w:rsidR="008C245D" w:rsidRPr="00735D3C" w:rsidRDefault="00C953E5" w:rsidP="008351AE">
      <w:pPr>
        <w:ind w:firstLine="720"/>
        <w:jc w:val="both"/>
        <w:rPr>
          <w:rFonts w:ascii="Book Antiqua" w:hAnsi="Book Antiqua"/>
          <w:lang w:val="es-PR"/>
        </w:rPr>
      </w:pPr>
      <w:r>
        <w:rPr>
          <w:rFonts w:ascii="Book Antiqua" w:hAnsi="Book Antiqua"/>
          <w:lang w:val="es-ES_tradnl"/>
        </w:rPr>
        <w:t>Para el análisis de esta medida</w:t>
      </w:r>
      <w:r w:rsidR="00982CE6">
        <w:rPr>
          <w:rFonts w:ascii="Book Antiqua" w:hAnsi="Book Antiqua"/>
          <w:lang w:val="es-ES_tradnl"/>
        </w:rPr>
        <w:t>,</w:t>
      </w:r>
      <w:r>
        <w:rPr>
          <w:rFonts w:ascii="Book Antiqua" w:hAnsi="Book Antiqua"/>
          <w:lang w:val="es-ES_tradnl"/>
        </w:rPr>
        <w:t xml:space="preserve"> la </w:t>
      </w:r>
      <w:r w:rsidRPr="00C953E5">
        <w:rPr>
          <w:rFonts w:ascii="Book Antiqua" w:hAnsi="Book Antiqua"/>
          <w:lang w:val="es-ES_tradnl"/>
        </w:rPr>
        <w:t xml:space="preserve">Comisión de </w:t>
      </w:r>
      <w:r w:rsidR="008351AE">
        <w:rPr>
          <w:rFonts w:ascii="Book Antiqua" w:hAnsi="Book Antiqua"/>
          <w:lang w:val="es-ES_tradnl"/>
        </w:rPr>
        <w:t>lo Jurídico</w:t>
      </w:r>
      <w:r>
        <w:rPr>
          <w:rFonts w:ascii="Book Antiqua" w:hAnsi="Book Antiqua"/>
          <w:lang w:val="es-ES_tradnl"/>
        </w:rPr>
        <w:t xml:space="preserve"> celebró una vista pública</w:t>
      </w:r>
      <w:r w:rsidR="008351AE">
        <w:rPr>
          <w:rFonts w:ascii="Book Antiqua" w:hAnsi="Book Antiqua"/>
          <w:lang w:val="es-ES_tradnl"/>
        </w:rPr>
        <w:t>, el 17 de enero de 2024,</w:t>
      </w:r>
      <w:r>
        <w:rPr>
          <w:rFonts w:ascii="Book Antiqua" w:hAnsi="Book Antiqua"/>
          <w:lang w:val="es-ES_tradnl"/>
        </w:rPr>
        <w:t xml:space="preserve"> con la participación del</w:t>
      </w:r>
      <w:r w:rsidR="00D7344F">
        <w:rPr>
          <w:rFonts w:ascii="Book Antiqua" w:hAnsi="Book Antiqua"/>
          <w:lang w:val="es-ES_tradnl"/>
        </w:rPr>
        <w:t xml:space="preserve"> </w:t>
      </w:r>
      <w:r w:rsidR="00132596">
        <w:rPr>
          <w:rFonts w:ascii="Book Antiqua" w:hAnsi="Book Antiqua"/>
          <w:lang w:val="es-ES_tradnl"/>
        </w:rPr>
        <w:t>Departamento de Seguridad Pública (DSP)</w:t>
      </w:r>
      <w:r w:rsidR="001C0089">
        <w:rPr>
          <w:rFonts w:ascii="Book Antiqua" w:hAnsi="Book Antiqua"/>
          <w:lang w:val="es-ES_tradnl"/>
        </w:rPr>
        <w:t xml:space="preserve">, </w:t>
      </w:r>
      <w:r w:rsidR="00D7344F">
        <w:rPr>
          <w:rFonts w:ascii="Book Antiqua" w:hAnsi="Book Antiqua"/>
          <w:lang w:val="es-ES_tradnl"/>
        </w:rPr>
        <w:t>el Negociado de la Policía de Puerto Rico (NPPR),</w:t>
      </w:r>
      <w:r w:rsidR="00132596">
        <w:rPr>
          <w:rFonts w:ascii="Book Antiqua" w:hAnsi="Book Antiqua"/>
          <w:lang w:val="es-ES_tradnl"/>
        </w:rPr>
        <w:t xml:space="preserve"> la </w:t>
      </w:r>
      <w:r w:rsidR="008351AE">
        <w:rPr>
          <w:rFonts w:ascii="Book Antiqua" w:hAnsi="Book Antiqua"/>
          <w:lang w:val="es-ES_tradnl"/>
        </w:rPr>
        <w:t>Comisión para la Seguridad en el Tránsito</w:t>
      </w:r>
      <w:r w:rsidR="00132596">
        <w:rPr>
          <w:rFonts w:ascii="Book Antiqua" w:hAnsi="Book Antiqua"/>
          <w:lang w:val="es-ES_tradnl"/>
        </w:rPr>
        <w:t xml:space="preserve"> (</w:t>
      </w:r>
      <w:r w:rsidR="008351AE">
        <w:rPr>
          <w:rFonts w:ascii="Book Antiqua" w:hAnsi="Book Antiqua"/>
          <w:lang w:val="es-ES_tradnl"/>
        </w:rPr>
        <w:t>CST</w:t>
      </w:r>
      <w:r w:rsidR="00132596">
        <w:rPr>
          <w:rFonts w:ascii="Book Antiqua" w:hAnsi="Book Antiqua"/>
          <w:lang w:val="es-ES_tradnl"/>
        </w:rPr>
        <w:t>)</w:t>
      </w:r>
      <w:r w:rsidR="00D7344F">
        <w:rPr>
          <w:rFonts w:ascii="Book Antiqua" w:hAnsi="Book Antiqua"/>
          <w:lang w:val="es-ES_tradnl"/>
        </w:rPr>
        <w:t xml:space="preserve"> y</w:t>
      </w:r>
      <w:r w:rsidR="00132596">
        <w:rPr>
          <w:rFonts w:ascii="Book Antiqua" w:hAnsi="Book Antiqua"/>
          <w:lang w:val="es-ES_tradnl"/>
        </w:rPr>
        <w:t xml:space="preserve"> la </w:t>
      </w:r>
      <w:bookmarkStart w:id="2" w:name="_Hlk158380470"/>
      <w:r w:rsidR="008351AE">
        <w:rPr>
          <w:rFonts w:ascii="Book Antiqua" w:hAnsi="Book Antiqua"/>
          <w:lang w:val="es-ES_tradnl"/>
        </w:rPr>
        <w:t xml:space="preserve">Sociedad </w:t>
      </w:r>
      <w:r w:rsidR="007C4605">
        <w:rPr>
          <w:rFonts w:ascii="Book Antiqua" w:hAnsi="Book Antiqua"/>
          <w:lang w:val="es-ES_tradnl"/>
        </w:rPr>
        <w:t>para</w:t>
      </w:r>
      <w:r w:rsidR="008351AE">
        <w:rPr>
          <w:rFonts w:ascii="Book Antiqua" w:hAnsi="Book Antiqua"/>
          <w:lang w:val="es-ES_tradnl"/>
        </w:rPr>
        <w:t xml:space="preserve"> Asistencia Legal</w:t>
      </w:r>
      <w:r w:rsidR="007C4605">
        <w:rPr>
          <w:rFonts w:ascii="Book Antiqua" w:hAnsi="Book Antiqua"/>
          <w:lang w:val="es-ES_tradnl"/>
        </w:rPr>
        <w:t xml:space="preserve"> de Puerto Rico</w:t>
      </w:r>
      <w:r w:rsidR="008351AE">
        <w:rPr>
          <w:rFonts w:ascii="Book Antiqua" w:hAnsi="Book Antiqua"/>
          <w:lang w:val="es-ES_tradnl"/>
        </w:rPr>
        <w:t xml:space="preserve"> </w:t>
      </w:r>
      <w:bookmarkEnd w:id="2"/>
      <w:r w:rsidR="008351AE">
        <w:rPr>
          <w:rFonts w:ascii="Book Antiqua" w:hAnsi="Book Antiqua"/>
          <w:lang w:val="es-ES_tradnl"/>
        </w:rPr>
        <w:t>(SAL).</w:t>
      </w:r>
      <w:r w:rsidR="00926F32" w:rsidRPr="00926F32">
        <w:rPr>
          <w:rFonts w:ascii="Book Antiqua" w:hAnsi="Book Antiqua"/>
          <w:lang w:val="es-ES_tradnl"/>
        </w:rPr>
        <w:t xml:space="preserve"> </w:t>
      </w:r>
      <w:r w:rsidR="00926F32">
        <w:rPr>
          <w:rFonts w:ascii="Book Antiqua" w:hAnsi="Book Antiqua"/>
          <w:lang w:val="es-ES_tradnl"/>
        </w:rPr>
        <w:t xml:space="preserve">Asimismo, comparecieron para ofrecer su testimonio la </w:t>
      </w:r>
      <w:r w:rsidR="006C4506">
        <w:rPr>
          <w:rFonts w:ascii="Book Antiqua" w:hAnsi="Book Antiqua"/>
          <w:lang w:val="es-ES_tradnl"/>
        </w:rPr>
        <w:t>señora</w:t>
      </w:r>
      <w:r w:rsidR="00926F32">
        <w:rPr>
          <w:rFonts w:ascii="Book Antiqua" w:hAnsi="Book Antiqua"/>
          <w:lang w:val="es-ES_tradnl"/>
        </w:rPr>
        <w:t xml:space="preserve"> Jennifer Rivera López y el </w:t>
      </w:r>
      <w:r w:rsidR="006C4506">
        <w:rPr>
          <w:rFonts w:ascii="Book Antiqua" w:hAnsi="Book Antiqua"/>
          <w:lang w:val="es-ES_tradnl"/>
        </w:rPr>
        <w:t>señor</w:t>
      </w:r>
      <w:r w:rsidR="00926F32">
        <w:rPr>
          <w:rFonts w:ascii="Book Antiqua" w:hAnsi="Book Antiqua"/>
          <w:lang w:val="es-ES_tradnl"/>
        </w:rPr>
        <w:t xml:space="preserve"> Edwin </w:t>
      </w:r>
      <w:proofErr w:type="spellStart"/>
      <w:r w:rsidR="00926F32">
        <w:rPr>
          <w:rFonts w:ascii="Book Antiqua" w:hAnsi="Book Antiqua"/>
          <w:lang w:val="es-ES_tradnl"/>
        </w:rPr>
        <w:t>Serrallés</w:t>
      </w:r>
      <w:proofErr w:type="spellEnd"/>
      <w:r w:rsidR="00926F32">
        <w:rPr>
          <w:rFonts w:ascii="Book Antiqua" w:hAnsi="Book Antiqua"/>
          <w:lang w:val="es-ES_tradnl"/>
        </w:rPr>
        <w:t xml:space="preserve">, madre y padrastro, respectivamente, de la joven </w:t>
      </w:r>
      <w:r w:rsidR="00B14483">
        <w:rPr>
          <w:rFonts w:ascii="Book Antiqua" w:hAnsi="Book Antiqua"/>
          <w:lang w:val="es-ES_tradnl"/>
        </w:rPr>
        <w:t xml:space="preserve">de 20 años </w:t>
      </w:r>
      <w:r w:rsidR="00926F32">
        <w:rPr>
          <w:rFonts w:ascii="Book Antiqua" w:hAnsi="Book Antiqua"/>
          <w:lang w:val="es-ES_tradnl"/>
        </w:rPr>
        <w:t xml:space="preserve">Natalia Nicole Ayala Rivera, quien fue víctima de un </w:t>
      </w:r>
      <w:r w:rsidR="00926F32">
        <w:rPr>
          <w:rFonts w:ascii="Book Antiqua" w:hAnsi="Book Antiqua"/>
          <w:i/>
          <w:iCs/>
          <w:lang w:val="es-ES_tradnl"/>
        </w:rPr>
        <w:t xml:space="preserve">hit and run </w:t>
      </w:r>
      <w:r w:rsidR="00926F32">
        <w:rPr>
          <w:rFonts w:ascii="Book Antiqua" w:hAnsi="Book Antiqua"/>
          <w:lang w:val="es-ES_tradnl"/>
        </w:rPr>
        <w:t xml:space="preserve">en el que perdió la vida </w:t>
      </w:r>
      <w:r w:rsidR="00926F32" w:rsidRPr="00735D3C">
        <w:rPr>
          <w:rFonts w:ascii="Book Antiqua" w:hAnsi="Book Antiqua"/>
          <w:lang w:val="es-PR"/>
        </w:rPr>
        <w:t>el 5 de enero de 2022.</w:t>
      </w:r>
      <w:r w:rsidR="00926F32">
        <w:rPr>
          <w:rFonts w:ascii="Book Antiqua" w:hAnsi="Book Antiqua"/>
          <w:lang w:val="es-PR"/>
        </w:rPr>
        <w:t xml:space="preserve"> </w:t>
      </w:r>
      <w:r w:rsidR="008351AE">
        <w:rPr>
          <w:rFonts w:ascii="Book Antiqua" w:hAnsi="Book Antiqua"/>
          <w:lang w:val="es-ES_tradnl"/>
        </w:rPr>
        <w:t xml:space="preserve">El Departamento de Justicia fue citado, pero no compareció y tampoco envió el memorial explicativo en el que se </w:t>
      </w:r>
      <w:r w:rsidR="00D7344F">
        <w:rPr>
          <w:rFonts w:ascii="Book Antiqua" w:hAnsi="Book Antiqua"/>
          <w:lang w:val="es-ES_tradnl"/>
        </w:rPr>
        <w:t>establezca</w:t>
      </w:r>
      <w:r w:rsidR="008351AE">
        <w:rPr>
          <w:rFonts w:ascii="Book Antiqua" w:hAnsi="Book Antiqua"/>
          <w:lang w:val="es-ES_tradnl"/>
        </w:rPr>
        <w:t xml:space="preserve"> la postura de la agencia. </w:t>
      </w:r>
    </w:p>
    <w:p w14:paraId="1B587C46" w14:textId="77777777" w:rsidR="007F12D1" w:rsidRDefault="007F12D1" w:rsidP="00C953E5">
      <w:pPr>
        <w:jc w:val="both"/>
        <w:rPr>
          <w:rFonts w:ascii="Book Antiqua" w:hAnsi="Book Antiqua"/>
          <w:b/>
          <w:bCs/>
          <w:u w:val="single"/>
          <w:lang w:val="es-ES_tradnl"/>
        </w:rPr>
      </w:pPr>
      <w:bookmarkStart w:id="3" w:name="_Hlk137731900"/>
    </w:p>
    <w:p w14:paraId="08C271B3" w14:textId="69ADE4C2" w:rsidR="00926F32" w:rsidRDefault="00926F32" w:rsidP="001C0089">
      <w:pPr>
        <w:jc w:val="center"/>
        <w:rPr>
          <w:rFonts w:ascii="Book Antiqua" w:hAnsi="Book Antiqua"/>
          <w:b/>
          <w:bCs/>
          <w:u w:val="single"/>
          <w:lang w:val="es-ES_tradnl"/>
        </w:rPr>
      </w:pPr>
      <w:r w:rsidRPr="00926F32">
        <w:rPr>
          <w:rFonts w:ascii="Book Antiqua" w:hAnsi="Book Antiqua"/>
          <w:b/>
          <w:bCs/>
          <w:u w:val="single"/>
          <w:lang w:val="es-ES_tradnl"/>
        </w:rPr>
        <w:t xml:space="preserve">Sra. Jennifer Rivera López y </w:t>
      </w:r>
      <w:bookmarkStart w:id="4" w:name="_Hlk158367250"/>
      <w:r w:rsidRPr="00926F32">
        <w:rPr>
          <w:rFonts w:ascii="Book Antiqua" w:hAnsi="Book Antiqua"/>
          <w:b/>
          <w:bCs/>
          <w:u w:val="single"/>
          <w:lang w:val="es-ES_tradnl"/>
        </w:rPr>
        <w:t xml:space="preserve">Sr. Edwin </w:t>
      </w:r>
      <w:proofErr w:type="spellStart"/>
      <w:r w:rsidRPr="00926F32">
        <w:rPr>
          <w:rFonts w:ascii="Book Antiqua" w:hAnsi="Book Antiqua"/>
          <w:b/>
          <w:bCs/>
          <w:u w:val="single"/>
          <w:lang w:val="es-ES_tradnl"/>
        </w:rPr>
        <w:t>Serrallés</w:t>
      </w:r>
      <w:bookmarkEnd w:id="4"/>
      <w:proofErr w:type="spellEnd"/>
      <w:r w:rsidRPr="00926F32">
        <w:rPr>
          <w:rFonts w:ascii="Book Antiqua" w:hAnsi="Book Antiqua"/>
          <w:b/>
          <w:bCs/>
          <w:u w:val="single"/>
          <w:lang w:val="es-ES_tradnl"/>
        </w:rPr>
        <w:t>, madre y padrastro, respectivamente, de la joven Natalia Nicole Ayala Rivera</w:t>
      </w:r>
    </w:p>
    <w:p w14:paraId="2DB5815E" w14:textId="77777777" w:rsidR="00926F32" w:rsidRDefault="00926F32" w:rsidP="00C953E5">
      <w:pPr>
        <w:jc w:val="both"/>
        <w:rPr>
          <w:rFonts w:ascii="Book Antiqua" w:hAnsi="Book Antiqua"/>
          <w:b/>
          <w:bCs/>
          <w:u w:val="single"/>
          <w:lang w:val="es-ES_tradnl"/>
        </w:rPr>
      </w:pPr>
    </w:p>
    <w:p w14:paraId="4DCD7E9B" w14:textId="1E51C263" w:rsidR="00B14483" w:rsidRDefault="00B14483" w:rsidP="0035393A">
      <w:pPr>
        <w:ind w:firstLine="720"/>
        <w:jc w:val="both"/>
        <w:rPr>
          <w:rFonts w:ascii="Book Antiqua" w:hAnsi="Book Antiqua"/>
          <w:lang w:val="es-PR"/>
        </w:rPr>
      </w:pPr>
      <w:r w:rsidRPr="00B14483">
        <w:rPr>
          <w:rFonts w:ascii="Book Antiqua" w:hAnsi="Book Antiqua"/>
          <w:lang w:val="es-PR"/>
        </w:rPr>
        <w:t>“Yo soy la voz de Natalia, ya que ella no puede alzar su voz”</w:t>
      </w:r>
      <w:r>
        <w:rPr>
          <w:rFonts w:ascii="Book Antiqua" w:hAnsi="Book Antiqua"/>
          <w:lang w:val="es-PR"/>
        </w:rPr>
        <w:t xml:space="preserve">. Así comenzó el testimonio </w:t>
      </w:r>
      <w:r w:rsidR="00720B87" w:rsidRPr="00720B87">
        <w:rPr>
          <w:rFonts w:ascii="Book Antiqua" w:hAnsi="Book Antiqua"/>
          <w:lang w:val="es-PR"/>
        </w:rPr>
        <w:t>ante la Comisión de lo Jurídico</w:t>
      </w:r>
      <w:r w:rsidR="00720B87">
        <w:rPr>
          <w:rFonts w:ascii="Book Antiqua" w:hAnsi="Book Antiqua"/>
          <w:lang w:val="es-PR"/>
        </w:rPr>
        <w:t xml:space="preserve"> </w:t>
      </w:r>
      <w:r>
        <w:rPr>
          <w:rFonts w:ascii="Book Antiqua" w:hAnsi="Book Antiqua"/>
          <w:lang w:val="es-PR"/>
        </w:rPr>
        <w:t xml:space="preserve">de la </w:t>
      </w:r>
      <w:r w:rsidR="006C4506">
        <w:rPr>
          <w:rFonts w:ascii="Book Antiqua" w:hAnsi="Book Antiqua"/>
          <w:lang w:val="es-PR"/>
        </w:rPr>
        <w:t>señora</w:t>
      </w:r>
      <w:r>
        <w:rPr>
          <w:rFonts w:ascii="Book Antiqua" w:hAnsi="Book Antiqua"/>
          <w:lang w:val="es-PR"/>
        </w:rPr>
        <w:t xml:space="preserve"> Jennifer Rivera López, madre de la joven de 20 años Natalia Nicole Ayala Rivera, quien fue víctima de un </w:t>
      </w:r>
      <w:r w:rsidRPr="00B14483">
        <w:rPr>
          <w:rFonts w:ascii="Book Antiqua" w:hAnsi="Book Antiqua"/>
          <w:i/>
          <w:iCs/>
          <w:lang w:val="es-PR"/>
        </w:rPr>
        <w:t>hit and run</w:t>
      </w:r>
      <w:r>
        <w:rPr>
          <w:rFonts w:ascii="Book Antiqua" w:hAnsi="Book Antiqua"/>
          <w:lang w:val="es-PR"/>
        </w:rPr>
        <w:t xml:space="preserve">, el 5 de enero de 2022, en el que perdió la vida. </w:t>
      </w:r>
      <w:r w:rsidRPr="00B14483">
        <w:rPr>
          <w:rFonts w:ascii="Book Antiqua" w:hAnsi="Book Antiqua"/>
          <w:lang w:val="es-PR"/>
        </w:rPr>
        <w:t>“Natalia era una chica alegre, feliz, amigable, deportista, con muchos sueños por delante y mucho futuro el cual ya alguien se lo arrebató”, expresó la</w:t>
      </w:r>
      <w:r>
        <w:rPr>
          <w:rFonts w:ascii="Book Antiqua" w:hAnsi="Book Antiqua"/>
          <w:lang w:val="es-PR"/>
        </w:rPr>
        <w:t xml:space="preserve"> Sra. Rivera López. </w:t>
      </w:r>
    </w:p>
    <w:p w14:paraId="20E57115" w14:textId="77777777" w:rsidR="00B14483" w:rsidRDefault="00B14483" w:rsidP="00C953E5">
      <w:pPr>
        <w:jc w:val="both"/>
        <w:rPr>
          <w:rFonts w:ascii="Book Antiqua" w:hAnsi="Book Antiqua"/>
          <w:lang w:val="es-PR"/>
        </w:rPr>
      </w:pPr>
    </w:p>
    <w:p w14:paraId="0D3B332E" w14:textId="3275D8C0" w:rsidR="00B14483" w:rsidRDefault="00B14483" w:rsidP="0035393A">
      <w:pPr>
        <w:ind w:firstLine="720"/>
        <w:jc w:val="both"/>
        <w:rPr>
          <w:rFonts w:ascii="Book Antiqua" w:hAnsi="Book Antiqua"/>
          <w:lang w:val="es-PR"/>
        </w:rPr>
      </w:pPr>
      <w:r w:rsidRPr="00B14483">
        <w:rPr>
          <w:rFonts w:ascii="Book Antiqua" w:hAnsi="Book Antiqua"/>
          <w:lang w:val="es-PR"/>
        </w:rPr>
        <w:t>Natalia Nicole</w:t>
      </w:r>
      <w:r>
        <w:rPr>
          <w:rFonts w:ascii="Book Antiqua" w:hAnsi="Book Antiqua"/>
          <w:lang w:val="es-PR"/>
        </w:rPr>
        <w:t xml:space="preserve"> Ayala Rivera</w:t>
      </w:r>
      <w:r w:rsidRPr="00B14483">
        <w:rPr>
          <w:rFonts w:ascii="Book Antiqua" w:hAnsi="Book Antiqua"/>
          <w:lang w:val="es-PR"/>
        </w:rPr>
        <w:t xml:space="preserve"> </w:t>
      </w:r>
      <w:r>
        <w:rPr>
          <w:rFonts w:ascii="Book Antiqua" w:hAnsi="Book Antiqua"/>
          <w:lang w:val="es-PR"/>
        </w:rPr>
        <w:t>murió</w:t>
      </w:r>
      <w:r w:rsidRPr="00B14483">
        <w:rPr>
          <w:rFonts w:ascii="Book Antiqua" w:hAnsi="Book Antiqua"/>
          <w:lang w:val="es-PR"/>
        </w:rPr>
        <w:t xml:space="preserve"> tras ser atropellada por </w:t>
      </w:r>
      <w:r w:rsidR="00C34713">
        <w:rPr>
          <w:rFonts w:ascii="Book Antiqua" w:hAnsi="Book Antiqua"/>
          <w:lang w:val="es-PR"/>
        </w:rPr>
        <w:t>un conductor negligente</w:t>
      </w:r>
      <w:r w:rsidRPr="00B14483">
        <w:rPr>
          <w:rFonts w:ascii="Book Antiqua" w:hAnsi="Book Antiqua"/>
          <w:lang w:val="es-PR"/>
        </w:rPr>
        <w:t>, mientras ella cambiaba la goma de su vehículo en la rampa que conecta con la carretera PR-22, en dirección de San Juan a Bayamón.</w:t>
      </w:r>
      <w:r>
        <w:rPr>
          <w:rFonts w:ascii="Book Antiqua" w:hAnsi="Book Antiqua"/>
          <w:lang w:val="es-PR"/>
        </w:rPr>
        <w:t xml:space="preserve"> </w:t>
      </w:r>
      <w:r w:rsidR="00C34713">
        <w:rPr>
          <w:rFonts w:ascii="Book Antiqua" w:hAnsi="Book Antiqua"/>
          <w:lang w:val="es-PR"/>
        </w:rPr>
        <w:t>El acusado</w:t>
      </w:r>
      <w:r>
        <w:rPr>
          <w:rFonts w:ascii="Book Antiqua" w:hAnsi="Book Antiqua"/>
          <w:lang w:val="es-PR"/>
        </w:rPr>
        <w:t xml:space="preserve"> fue hallado culpable de </w:t>
      </w:r>
      <w:r w:rsidRPr="00B14483">
        <w:rPr>
          <w:rFonts w:ascii="Book Antiqua" w:hAnsi="Book Antiqua"/>
          <w:lang w:val="es-PR"/>
        </w:rPr>
        <w:t>ocasionar la muerte de una persona conduciendo negligentemente, ocasionar daños físicos a una persona conduciendo negligentemente y no detenerse para ayudar a una persona, según lo dispone</w:t>
      </w:r>
      <w:r>
        <w:rPr>
          <w:rFonts w:ascii="Book Antiqua" w:hAnsi="Book Antiqua"/>
          <w:lang w:val="es-PR"/>
        </w:rPr>
        <w:t xml:space="preserve"> </w:t>
      </w:r>
      <w:r w:rsidRPr="00B14483">
        <w:rPr>
          <w:rFonts w:ascii="Book Antiqua" w:hAnsi="Book Antiqua"/>
          <w:lang w:val="es-PR"/>
        </w:rPr>
        <w:t xml:space="preserve">la Ley 22-2000, </w:t>
      </w:r>
      <w:r>
        <w:rPr>
          <w:rFonts w:ascii="Book Antiqua" w:hAnsi="Book Antiqua"/>
          <w:lang w:val="es-PR"/>
        </w:rPr>
        <w:t xml:space="preserve">según enmendada, </w:t>
      </w:r>
      <w:r w:rsidRPr="00B14483">
        <w:rPr>
          <w:rFonts w:ascii="Book Antiqua" w:hAnsi="Book Antiqua"/>
          <w:lang w:val="es-PR"/>
        </w:rPr>
        <w:t xml:space="preserve">conocida como la </w:t>
      </w:r>
      <w:r w:rsidR="00B26F88">
        <w:rPr>
          <w:rFonts w:ascii="Book Antiqua" w:hAnsi="Book Antiqua"/>
          <w:lang w:val="es-PR"/>
        </w:rPr>
        <w:t>“</w:t>
      </w:r>
      <w:r w:rsidRPr="00B14483">
        <w:rPr>
          <w:rFonts w:ascii="Book Antiqua" w:hAnsi="Book Antiqua"/>
          <w:lang w:val="es-PR"/>
        </w:rPr>
        <w:t>Ley de Vehículos y Tránsito de Puerto Rico</w:t>
      </w:r>
      <w:r w:rsidR="00B26F88">
        <w:rPr>
          <w:rFonts w:ascii="Book Antiqua" w:hAnsi="Book Antiqua"/>
          <w:lang w:val="es-PR"/>
        </w:rPr>
        <w:t>”</w:t>
      </w:r>
      <w:r w:rsidRPr="00B14483">
        <w:rPr>
          <w:rFonts w:ascii="Book Antiqua" w:hAnsi="Book Antiqua"/>
          <w:lang w:val="es-PR"/>
        </w:rPr>
        <w:t>.</w:t>
      </w:r>
      <w:r>
        <w:rPr>
          <w:rFonts w:ascii="Book Antiqua" w:hAnsi="Book Antiqua"/>
          <w:lang w:val="es-PR"/>
        </w:rPr>
        <w:t xml:space="preserve"> Sin embargo, no cumplirá ni un solo día en la cárcel, ya que recibió una sentencia suspendida de 10 años. </w:t>
      </w:r>
    </w:p>
    <w:p w14:paraId="1826F4A1" w14:textId="77777777" w:rsidR="00B14483" w:rsidRDefault="00B14483" w:rsidP="00C953E5">
      <w:pPr>
        <w:jc w:val="both"/>
        <w:rPr>
          <w:rFonts w:ascii="Book Antiqua" w:hAnsi="Book Antiqua"/>
          <w:lang w:val="es-PR"/>
        </w:rPr>
      </w:pPr>
    </w:p>
    <w:p w14:paraId="338151B2" w14:textId="6B859571" w:rsidR="00B14483" w:rsidRDefault="00D7048F" w:rsidP="0035393A">
      <w:pPr>
        <w:ind w:firstLine="720"/>
        <w:jc w:val="both"/>
        <w:rPr>
          <w:rFonts w:ascii="Book Antiqua" w:hAnsi="Book Antiqua"/>
          <w:lang w:val="es-PR"/>
        </w:rPr>
      </w:pPr>
      <w:r w:rsidRPr="00D7048F">
        <w:rPr>
          <w:rFonts w:ascii="Book Antiqua" w:hAnsi="Book Antiqua"/>
          <w:lang w:val="es-PR"/>
        </w:rPr>
        <w:t>“El 5 de enero, para mí, ahora mismo, es total tristeza, ya que mi hija no está presente y todo el mundo lo celebra”</w:t>
      </w:r>
      <w:r>
        <w:rPr>
          <w:rFonts w:ascii="Book Antiqua" w:hAnsi="Book Antiqua"/>
          <w:lang w:val="es-PR"/>
        </w:rPr>
        <w:t xml:space="preserve">. </w:t>
      </w:r>
      <w:r w:rsidRPr="00D7048F">
        <w:rPr>
          <w:rFonts w:ascii="Book Antiqua" w:hAnsi="Book Antiqua"/>
          <w:lang w:val="es-PR"/>
        </w:rPr>
        <w:t>Esta persona le arrebató la vida a mi hija… Él se va a la huida después de haberle quitado la vida. Va a un cuartel a inventarse un cuento que le dieron un cantazo al vehículo para poder no responsabilizarse de lo sucedido</w:t>
      </w:r>
      <w:r>
        <w:rPr>
          <w:rFonts w:ascii="Book Antiqua" w:hAnsi="Book Antiqua"/>
          <w:lang w:val="es-PR"/>
        </w:rPr>
        <w:t xml:space="preserve">. </w:t>
      </w:r>
      <w:r w:rsidRPr="00D7048F">
        <w:rPr>
          <w:rFonts w:ascii="Book Antiqua" w:hAnsi="Book Antiqua"/>
          <w:lang w:val="es-PR"/>
        </w:rPr>
        <w:t>Si hubiera tomado otra acción de responsabilizarse, yo no estuviera aquí. Este accidente puede sucederle a cualquier persona, pero es la acción</w:t>
      </w:r>
      <w:r>
        <w:rPr>
          <w:rFonts w:ascii="Book Antiqua" w:hAnsi="Book Antiqua"/>
          <w:lang w:val="es-PR"/>
        </w:rPr>
        <w:t xml:space="preserve"> [de abandonar la escena]</w:t>
      </w:r>
      <w:r w:rsidRPr="00D7048F">
        <w:rPr>
          <w:rFonts w:ascii="Book Antiqua" w:hAnsi="Book Antiqua"/>
          <w:lang w:val="es-PR"/>
        </w:rPr>
        <w:t>”, expresó Rivera López</w:t>
      </w:r>
      <w:r w:rsidR="004B6B23">
        <w:rPr>
          <w:rFonts w:ascii="Book Antiqua" w:hAnsi="Book Antiqua"/>
          <w:lang w:val="es-PR"/>
        </w:rPr>
        <w:t>, quien favoreció la aprobación de la pieza legislativa</w:t>
      </w:r>
      <w:r w:rsidRPr="00D7048F">
        <w:rPr>
          <w:rFonts w:ascii="Book Antiqua" w:hAnsi="Book Antiqua"/>
          <w:lang w:val="es-PR"/>
        </w:rPr>
        <w:t>.</w:t>
      </w:r>
      <w:r>
        <w:rPr>
          <w:rFonts w:ascii="Book Antiqua" w:hAnsi="Book Antiqua"/>
          <w:lang w:val="es-PR"/>
        </w:rPr>
        <w:t xml:space="preserve"> </w:t>
      </w:r>
    </w:p>
    <w:p w14:paraId="362C859B" w14:textId="77777777" w:rsidR="006C4506" w:rsidRDefault="006C4506" w:rsidP="00D7048F">
      <w:pPr>
        <w:jc w:val="both"/>
        <w:rPr>
          <w:rFonts w:ascii="Book Antiqua" w:hAnsi="Book Antiqua"/>
          <w:lang w:val="es-PR"/>
        </w:rPr>
      </w:pPr>
    </w:p>
    <w:p w14:paraId="6500BAAD" w14:textId="2695204D" w:rsidR="00C34713" w:rsidRPr="00B14483" w:rsidRDefault="006C4506" w:rsidP="0035393A">
      <w:pPr>
        <w:ind w:firstLine="720"/>
        <w:jc w:val="both"/>
        <w:rPr>
          <w:rFonts w:ascii="Book Antiqua" w:hAnsi="Book Antiqua"/>
          <w:lang w:val="es-PR"/>
        </w:rPr>
      </w:pPr>
      <w:r>
        <w:rPr>
          <w:rFonts w:ascii="Book Antiqua" w:hAnsi="Book Antiqua"/>
          <w:lang w:val="es-PR"/>
        </w:rPr>
        <w:lastRenderedPageBreak/>
        <w:t xml:space="preserve">Por su parte, el señor </w:t>
      </w:r>
      <w:r w:rsidRPr="006C4506">
        <w:rPr>
          <w:rFonts w:ascii="Book Antiqua" w:hAnsi="Book Antiqua"/>
          <w:lang w:val="es-PR"/>
        </w:rPr>
        <w:t>Edwin Serrallés</w:t>
      </w:r>
      <w:r>
        <w:rPr>
          <w:rFonts w:ascii="Book Antiqua" w:hAnsi="Book Antiqua"/>
          <w:lang w:val="es-PR"/>
        </w:rPr>
        <w:t xml:space="preserve">, padrastro de Natalia Nicole, </w:t>
      </w:r>
      <w:r w:rsidR="004B6B23">
        <w:rPr>
          <w:rFonts w:ascii="Book Antiqua" w:hAnsi="Book Antiqua"/>
          <w:lang w:val="es-PR"/>
        </w:rPr>
        <w:t>también endosó la medida y cuestionó, además, que, a</w:t>
      </w:r>
      <w:r w:rsidR="004B6B23" w:rsidRPr="004B6B23">
        <w:rPr>
          <w:rFonts w:ascii="Book Antiqua" w:hAnsi="Book Antiqua"/>
          <w:lang w:val="es-PR"/>
        </w:rPr>
        <w:t>l convicto, como parte de la sentencia, no se le impuso vigilancia electrónica.</w:t>
      </w:r>
      <w:r w:rsidR="004B6B23">
        <w:rPr>
          <w:rFonts w:ascii="Book Antiqua" w:hAnsi="Book Antiqua"/>
          <w:lang w:val="es-PR"/>
        </w:rPr>
        <w:t xml:space="preserve"> </w:t>
      </w:r>
      <w:r w:rsidR="004B6B23" w:rsidRPr="004B6B23">
        <w:rPr>
          <w:rFonts w:ascii="Book Antiqua" w:hAnsi="Book Antiqua"/>
          <w:lang w:val="es-PR"/>
        </w:rPr>
        <w:t>“Ahora, se junta otra cosa más: la rabia. Tenemos una rabia porque el que le quita la vida a Natalia está como si no hubiese sucedido nada, está en la libre comunidad, sin ninguna garantía de qué verdaderamente está haciendo</w:t>
      </w:r>
      <w:r w:rsidR="0035393A">
        <w:rPr>
          <w:rFonts w:ascii="Book Antiqua" w:hAnsi="Book Antiqua"/>
          <w:lang w:val="es-PR"/>
        </w:rPr>
        <w:t xml:space="preserve">. </w:t>
      </w:r>
      <w:r w:rsidR="0035393A" w:rsidRPr="0035393A">
        <w:rPr>
          <w:rFonts w:ascii="Book Antiqua" w:hAnsi="Book Antiqua"/>
          <w:lang w:val="es-PR"/>
        </w:rPr>
        <w:t>Son cosas que verdaderamente duelen”,</w:t>
      </w:r>
      <w:r w:rsidR="0035393A">
        <w:rPr>
          <w:rFonts w:ascii="Book Antiqua" w:hAnsi="Book Antiqua"/>
          <w:lang w:val="es-PR"/>
        </w:rPr>
        <w:t xml:space="preserve"> manifestó </w:t>
      </w:r>
      <w:r w:rsidR="004B6B23">
        <w:rPr>
          <w:rFonts w:ascii="Book Antiqua" w:hAnsi="Book Antiqua"/>
          <w:lang w:val="es-PR"/>
        </w:rPr>
        <w:t xml:space="preserve">Serrallés. </w:t>
      </w:r>
    </w:p>
    <w:p w14:paraId="79FC0282" w14:textId="77777777" w:rsidR="00926F32" w:rsidRPr="00B14483" w:rsidRDefault="00926F32" w:rsidP="00C953E5">
      <w:pPr>
        <w:jc w:val="both"/>
        <w:rPr>
          <w:rFonts w:ascii="Book Antiqua" w:hAnsi="Book Antiqua"/>
          <w:b/>
          <w:bCs/>
          <w:u w:val="single"/>
          <w:lang w:val="es-PR"/>
        </w:rPr>
      </w:pPr>
    </w:p>
    <w:p w14:paraId="7078270C" w14:textId="1B1827FA" w:rsidR="00132596" w:rsidRDefault="00132596" w:rsidP="00342ECE">
      <w:pPr>
        <w:jc w:val="center"/>
        <w:rPr>
          <w:rFonts w:ascii="Book Antiqua" w:hAnsi="Book Antiqua"/>
          <w:b/>
          <w:bCs/>
          <w:u w:val="single"/>
          <w:lang w:val="es-ES_tradnl"/>
        </w:rPr>
      </w:pPr>
      <w:r w:rsidRPr="00132596">
        <w:rPr>
          <w:rFonts w:ascii="Book Antiqua" w:hAnsi="Book Antiqua"/>
          <w:b/>
          <w:bCs/>
          <w:u w:val="single"/>
          <w:lang w:val="es-ES_tradnl"/>
        </w:rPr>
        <w:t>Departamento de Seguridad Pública</w:t>
      </w:r>
      <w:r>
        <w:rPr>
          <w:rFonts w:ascii="Book Antiqua" w:hAnsi="Book Antiqua"/>
          <w:b/>
          <w:bCs/>
          <w:u w:val="single"/>
          <w:lang w:val="es-ES_tradnl"/>
        </w:rPr>
        <w:t xml:space="preserve"> (DSP</w:t>
      </w:r>
      <w:r w:rsidRPr="00D7344F">
        <w:rPr>
          <w:rFonts w:ascii="Book Antiqua" w:hAnsi="Book Antiqua"/>
          <w:b/>
          <w:bCs/>
          <w:u w:val="single"/>
          <w:lang w:val="es-ES_tradnl"/>
        </w:rPr>
        <w:t>)</w:t>
      </w:r>
      <w:r w:rsidR="00D7344F" w:rsidRPr="00D7344F">
        <w:rPr>
          <w:rFonts w:ascii="Book Antiqua" w:hAnsi="Book Antiqua"/>
          <w:b/>
          <w:bCs/>
          <w:u w:val="single"/>
          <w:lang w:val="es-ES_tradnl"/>
        </w:rPr>
        <w:t xml:space="preserve"> y Negociado de la Policía de Puerto Rico (NPPR)</w:t>
      </w:r>
    </w:p>
    <w:bookmarkEnd w:id="3"/>
    <w:p w14:paraId="4407593A" w14:textId="77777777" w:rsidR="00132596" w:rsidRDefault="00132596" w:rsidP="00C953E5">
      <w:pPr>
        <w:jc w:val="both"/>
        <w:rPr>
          <w:rFonts w:ascii="Book Antiqua" w:hAnsi="Book Antiqua"/>
          <w:b/>
          <w:bCs/>
          <w:u w:val="single"/>
          <w:lang w:val="es-ES_tradnl"/>
        </w:rPr>
      </w:pPr>
    </w:p>
    <w:p w14:paraId="29D84F33" w14:textId="77777777" w:rsidR="00A528D9" w:rsidRPr="00A528D9" w:rsidRDefault="00616BB6" w:rsidP="00CF2049">
      <w:pPr>
        <w:ind w:firstLine="720"/>
        <w:jc w:val="both"/>
        <w:rPr>
          <w:rFonts w:ascii="Book Antiqua" w:hAnsi="Book Antiqua"/>
          <w:lang w:val="es-ES_tradnl"/>
        </w:rPr>
      </w:pPr>
      <w:r>
        <w:rPr>
          <w:rFonts w:ascii="Book Antiqua" w:hAnsi="Book Antiqua"/>
          <w:lang w:val="es-ES_tradnl"/>
        </w:rPr>
        <w:t xml:space="preserve">En el memorial explicativo sometido por el </w:t>
      </w:r>
      <w:r w:rsidRPr="00616BB6">
        <w:rPr>
          <w:rFonts w:ascii="Book Antiqua" w:hAnsi="Book Antiqua"/>
          <w:lang w:val="es-ES_tradnl"/>
        </w:rPr>
        <w:t>Departamento de Seguridad Pública (DSP)</w:t>
      </w:r>
      <w:r w:rsidR="002C4B67">
        <w:rPr>
          <w:rFonts w:ascii="Book Antiqua" w:hAnsi="Book Antiqua"/>
          <w:lang w:val="es-ES_tradnl"/>
        </w:rPr>
        <w:t xml:space="preserve"> y el Negociado de la Policía de Puerto Rico (NPPR)</w:t>
      </w:r>
      <w:r>
        <w:rPr>
          <w:rFonts w:ascii="Book Antiqua" w:hAnsi="Book Antiqua"/>
          <w:lang w:val="es-ES_tradnl"/>
        </w:rPr>
        <w:t>,</w:t>
      </w:r>
      <w:r w:rsidR="0018209A">
        <w:rPr>
          <w:rFonts w:ascii="Book Antiqua" w:hAnsi="Book Antiqua"/>
          <w:lang w:val="es-ES_tradnl"/>
        </w:rPr>
        <w:t xml:space="preserve"> </w:t>
      </w:r>
      <w:r w:rsidR="002C4B67">
        <w:rPr>
          <w:rFonts w:ascii="Book Antiqua" w:hAnsi="Book Antiqua"/>
          <w:lang w:val="es-ES_tradnl"/>
        </w:rPr>
        <w:t xml:space="preserve">se establece que el propósito de la medida </w:t>
      </w:r>
      <w:r w:rsidR="002C4B67" w:rsidRPr="002C4B67">
        <w:rPr>
          <w:rFonts w:ascii="Book Antiqua" w:hAnsi="Book Antiqua"/>
          <w:lang w:val="es-ES_tradnl"/>
        </w:rPr>
        <w:t>incide en las funciones del</w:t>
      </w:r>
      <w:r w:rsidR="002C4B67">
        <w:rPr>
          <w:rFonts w:ascii="Book Antiqua" w:hAnsi="Book Antiqua"/>
          <w:lang w:val="es-ES_tradnl"/>
        </w:rPr>
        <w:t xml:space="preserve"> NPPR, adsc</w:t>
      </w:r>
      <w:r w:rsidR="00A528D9">
        <w:rPr>
          <w:rFonts w:ascii="Book Antiqua" w:hAnsi="Book Antiqua"/>
          <w:lang w:val="es-ES_tradnl"/>
        </w:rPr>
        <w:t xml:space="preserve">rito al DSP por virtud de la Ley 20-2017, según enmendada, conocida como “Ley del Departamento de Seguridad Pública de Puerto Rico”, cuyo objetivo principal es </w:t>
      </w:r>
      <w:r w:rsidR="00A528D9" w:rsidRPr="00A528D9">
        <w:rPr>
          <w:rFonts w:ascii="Book Antiqua" w:hAnsi="Book Antiqua"/>
          <w:lang w:val="es-ES_tradnl"/>
        </w:rPr>
        <w:t>promover un sistema de seguridad más efectivo,</w:t>
      </w:r>
    </w:p>
    <w:p w14:paraId="619CC374" w14:textId="105B6870" w:rsidR="00132596" w:rsidRDefault="00A528D9" w:rsidP="00A528D9">
      <w:pPr>
        <w:jc w:val="both"/>
        <w:rPr>
          <w:rFonts w:ascii="Book Antiqua" w:hAnsi="Book Antiqua"/>
          <w:lang w:val="es-ES_tradnl"/>
        </w:rPr>
      </w:pPr>
      <w:r>
        <w:rPr>
          <w:rFonts w:ascii="Book Antiqua" w:hAnsi="Book Antiqua"/>
          <w:lang w:val="es-ES_tradnl"/>
        </w:rPr>
        <w:t>e</w:t>
      </w:r>
      <w:r w:rsidRPr="00A528D9">
        <w:rPr>
          <w:rFonts w:ascii="Book Antiqua" w:hAnsi="Book Antiqua"/>
          <w:lang w:val="es-ES_tradnl"/>
        </w:rPr>
        <w:t>ficiente</w:t>
      </w:r>
      <w:r>
        <w:rPr>
          <w:rFonts w:ascii="Book Antiqua" w:hAnsi="Book Antiqua"/>
          <w:lang w:val="es-ES_tradnl"/>
        </w:rPr>
        <w:t xml:space="preserve"> y </w:t>
      </w:r>
      <w:r w:rsidRPr="00A528D9">
        <w:rPr>
          <w:rFonts w:ascii="Book Antiqua" w:hAnsi="Book Antiqua"/>
          <w:lang w:val="es-ES_tradnl"/>
        </w:rPr>
        <w:t>funcional que trabaje de forma integrada entre sus componentes y con otras</w:t>
      </w:r>
      <w:r>
        <w:rPr>
          <w:rFonts w:ascii="Book Antiqua" w:hAnsi="Book Antiqua"/>
          <w:lang w:val="es-ES_tradnl"/>
        </w:rPr>
        <w:t xml:space="preserve"> </w:t>
      </w:r>
      <w:r w:rsidRPr="00A528D9">
        <w:rPr>
          <w:rFonts w:ascii="Book Antiqua" w:hAnsi="Book Antiqua"/>
          <w:lang w:val="es-ES_tradnl"/>
        </w:rPr>
        <w:t>agencias de</w:t>
      </w:r>
      <w:r>
        <w:rPr>
          <w:rFonts w:ascii="Book Antiqua" w:hAnsi="Book Antiqua"/>
          <w:lang w:val="es-ES_tradnl"/>
        </w:rPr>
        <w:t>l</w:t>
      </w:r>
      <w:r w:rsidRPr="00A528D9">
        <w:rPr>
          <w:rFonts w:ascii="Book Antiqua" w:hAnsi="Book Antiqua"/>
          <w:lang w:val="es-ES_tradnl"/>
        </w:rPr>
        <w:t xml:space="preserve"> Gobierno de Puerto Rico.</w:t>
      </w:r>
      <w:r>
        <w:rPr>
          <w:rFonts w:ascii="Book Antiqua" w:hAnsi="Book Antiqua"/>
          <w:lang w:val="es-ES_tradnl"/>
        </w:rPr>
        <w:t xml:space="preserve"> </w:t>
      </w:r>
    </w:p>
    <w:p w14:paraId="3FCC5BCB" w14:textId="77777777" w:rsidR="00A528D9" w:rsidRDefault="00A528D9" w:rsidP="00A528D9">
      <w:pPr>
        <w:jc w:val="both"/>
        <w:rPr>
          <w:rFonts w:ascii="Book Antiqua" w:hAnsi="Book Antiqua"/>
          <w:lang w:val="es-ES_tradnl"/>
        </w:rPr>
      </w:pPr>
    </w:p>
    <w:p w14:paraId="41CD0F63" w14:textId="44CAF516" w:rsidR="00A528D9" w:rsidRDefault="00A528D9" w:rsidP="00CF2049">
      <w:pPr>
        <w:ind w:firstLine="720"/>
        <w:jc w:val="both"/>
        <w:rPr>
          <w:rFonts w:ascii="Book Antiqua" w:hAnsi="Book Antiqua"/>
          <w:lang w:val="es-ES_tradnl"/>
        </w:rPr>
      </w:pPr>
      <w:r w:rsidRPr="00A528D9">
        <w:rPr>
          <w:rFonts w:ascii="Book Antiqua" w:hAnsi="Book Antiqua"/>
          <w:lang w:val="es-ES_tradnl"/>
        </w:rPr>
        <w:t>El NPPR</w:t>
      </w:r>
      <w:r w:rsidR="00B26F88">
        <w:rPr>
          <w:rFonts w:ascii="Book Antiqua" w:hAnsi="Book Antiqua"/>
          <w:lang w:val="es-ES_tradnl"/>
        </w:rPr>
        <w:t>,</w:t>
      </w:r>
      <w:r w:rsidRPr="00A528D9">
        <w:rPr>
          <w:rFonts w:ascii="Book Antiqua" w:hAnsi="Book Antiqua"/>
          <w:lang w:val="es-ES_tradnl"/>
        </w:rPr>
        <w:t xml:space="preserve"> como parte de su deber ministerial, tiene la responsabilidad de hacer cumplir</w:t>
      </w:r>
      <w:r>
        <w:rPr>
          <w:rFonts w:ascii="Book Antiqua" w:hAnsi="Book Antiqua"/>
          <w:lang w:val="es-ES_tradnl"/>
        </w:rPr>
        <w:t xml:space="preserve"> l</w:t>
      </w:r>
      <w:r w:rsidRPr="00A528D9">
        <w:rPr>
          <w:rFonts w:ascii="Book Antiqua" w:hAnsi="Book Antiqua"/>
          <w:lang w:val="es-ES_tradnl"/>
        </w:rPr>
        <w:t>as leyes, reglamentos y ordenanzas de tránsito, establecer estrategias y planes de</w:t>
      </w:r>
      <w:r>
        <w:rPr>
          <w:rFonts w:ascii="Book Antiqua" w:hAnsi="Book Antiqua"/>
          <w:lang w:val="es-ES_tradnl"/>
        </w:rPr>
        <w:t xml:space="preserve"> </w:t>
      </w:r>
      <w:r w:rsidRPr="00A528D9">
        <w:rPr>
          <w:rFonts w:ascii="Book Antiqua" w:hAnsi="Book Antiqua"/>
          <w:lang w:val="es-ES_tradnl"/>
        </w:rPr>
        <w:t>trabajo</w:t>
      </w:r>
      <w:r>
        <w:rPr>
          <w:rFonts w:ascii="Book Antiqua" w:hAnsi="Book Antiqua"/>
          <w:lang w:val="es-ES_tradnl"/>
        </w:rPr>
        <w:t xml:space="preserve"> </w:t>
      </w:r>
      <w:r w:rsidRPr="00A528D9">
        <w:rPr>
          <w:rFonts w:ascii="Book Antiqua" w:hAnsi="Book Antiqua"/>
          <w:lang w:val="es-ES_tradnl"/>
        </w:rPr>
        <w:t xml:space="preserve">dirigidos a reducir </w:t>
      </w:r>
      <w:r>
        <w:rPr>
          <w:rFonts w:ascii="Book Antiqua" w:hAnsi="Book Antiqua"/>
          <w:lang w:val="es-ES_tradnl"/>
        </w:rPr>
        <w:t>l</w:t>
      </w:r>
      <w:r w:rsidRPr="00A528D9">
        <w:rPr>
          <w:rFonts w:ascii="Book Antiqua" w:hAnsi="Book Antiqua"/>
          <w:lang w:val="es-ES_tradnl"/>
        </w:rPr>
        <w:t xml:space="preserve">as muertes en </w:t>
      </w:r>
      <w:r>
        <w:rPr>
          <w:rFonts w:ascii="Book Antiqua" w:hAnsi="Book Antiqua"/>
          <w:lang w:val="es-ES_tradnl"/>
        </w:rPr>
        <w:t>l</w:t>
      </w:r>
      <w:r w:rsidRPr="00A528D9">
        <w:rPr>
          <w:rFonts w:ascii="Book Antiqua" w:hAnsi="Book Antiqua"/>
          <w:lang w:val="es-ES_tradnl"/>
        </w:rPr>
        <w:t xml:space="preserve">as carreteras, disminuir la amenaza de </w:t>
      </w:r>
      <w:r>
        <w:rPr>
          <w:rFonts w:ascii="Book Antiqua" w:hAnsi="Book Antiqua"/>
          <w:lang w:val="es-ES_tradnl"/>
        </w:rPr>
        <w:t>l</w:t>
      </w:r>
      <w:r w:rsidRPr="00A528D9">
        <w:rPr>
          <w:rFonts w:ascii="Book Antiqua" w:hAnsi="Book Antiqua"/>
          <w:lang w:val="es-ES_tradnl"/>
        </w:rPr>
        <w:t>os</w:t>
      </w:r>
      <w:r>
        <w:rPr>
          <w:rFonts w:ascii="Book Antiqua" w:hAnsi="Book Antiqua"/>
          <w:lang w:val="es-ES_tradnl"/>
        </w:rPr>
        <w:t xml:space="preserve"> </w:t>
      </w:r>
      <w:r w:rsidRPr="00A528D9">
        <w:rPr>
          <w:rFonts w:ascii="Book Antiqua" w:hAnsi="Book Antiqua"/>
          <w:lang w:val="es-ES_tradnl"/>
        </w:rPr>
        <w:t>conducto</w:t>
      </w:r>
      <w:r>
        <w:rPr>
          <w:rFonts w:ascii="Book Antiqua" w:hAnsi="Book Antiqua"/>
          <w:lang w:val="es-ES_tradnl"/>
        </w:rPr>
        <w:t xml:space="preserve">res </w:t>
      </w:r>
      <w:r w:rsidRPr="00A528D9">
        <w:rPr>
          <w:rFonts w:ascii="Book Antiqua" w:hAnsi="Book Antiqua"/>
          <w:lang w:val="es-ES_tradnl"/>
        </w:rPr>
        <w:t xml:space="preserve">ebrios en </w:t>
      </w:r>
      <w:r>
        <w:rPr>
          <w:rFonts w:ascii="Book Antiqua" w:hAnsi="Book Antiqua"/>
          <w:lang w:val="es-ES_tradnl"/>
        </w:rPr>
        <w:t>l</w:t>
      </w:r>
      <w:r w:rsidRPr="00A528D9">
        <w:rPr>
          <w:rFonts w:ascii="Book Antiqua" w:hAnsi="Book Antiqua"/>
          <w:lang w:val="es-ES_tradnl"/>
        </w:rPr>
        <w:t xml:space="preserve">as </w:t>
      </w:r>
      <w:r>
        <w:rPr>
          <w:rFonts w:ascii="Book Antiqua" w:hAnsi="Book Antiqua"/>
          <w:lang w:val="es-ES_tradnl"/>
        </w:rPr>
        <w:t>calles,</w:t>
      </w:r>
      <w:r w:rsidRPr="00A528D9">
        <w:rPr>
          <w:rFonts w:ascii="Book Antiqua" w:hAnsi="Book Antiqua"/>
          <w:lang w:val="es-ES_tradnl"/>
        </w:rPr>
        <w:t xml:space="preserve"> autopistas y carreteras primarias del </w:t>
      </w:r>
      <w:r>
        <w:rPr>
          <w:rFonts w:ascii="Book Antiqua" w:hAnsi="Book Antiqua"/>
          <w:lang w:val="es-ES_tradnl"/>
        </w:rPr>
        <w:t>p</w:t>
      </w:r>
      <w:r w:rsidRPr="00A528D9">
        <w:rPr>
          <w:rFonts w:ascii="Book Antiqua" w:hAnsi="Book Antiqua"/>
          <w:lang w:val="es-ES_tradnl"/>
        </w:rPr>
        <w:t>aís, entre otros.</w:t>
      </w:r>
      <w:r>
        <w:rPr>
          <w:rFonts w:ascii="Book Antiqua" w:hAnsi="Book Antiqua"/>
          <w:lang w:val="es-ES_tradnl"/>
        </w:rPr>
        <w:t xml:space="preserve"> </w:t>
      </w:r>
      <w:r w:rsidRPr="00A528D9">
        <w:rPr>
          <w:rFonts w:ascii="Book Antiqua" w:hAnsi="Book Antiqua"/>
          <w:lang w:val="es-ES_tradnl"/>
        </w:rPr>
        <w:t>Además,</w:t>
      </w:r>
      <w:r>
        <w:rPr>
          <w:rFonts w:ascii="Book Antiqua" w:hAnsi="Book Antiqua"/>
          <w:lang w:val="es-ES_tradnl"/>
        </w:rPr>
        <w:t xml:space="preserve"> </w:t>
      </w:r>
      <w:r w:rsidRPr="00A528D9">
        <w:rPr>
          <w:rFonts w:ascii="Book Antiqua" w:hAnsi="Book Antiqua"/>
          <w:lang w:val="es-ES_tradnl"/>
        </w:rPr>
        <w:t xml:space="preserve">establece medidas de orientación y vigilancia en beneficio de </w:t>
      </w:r>
      <w:r>
        <w:rPr>
          <w:rFonts w:ascii="Book Antiqua" w:hAnsi="Book Antiqua"/>
          <w:lang w:val="es-ES_tradnl"/>
        </w:rPr>
        <w:t>l</w:t>
      </w:r>
      <w:r w:rsidRPr="00A528D9">
        <w:rPr>
          <w:rFonts w:ascii="Book Antiqua" w:hAnsi="Book Antiqua"/>
          <w:lang w:val="es-ES_tradnl"/>
        </w:rPr>
        <w:t>os conductores</w:t>
      </w:r>
      <w:r>
        <w:rPr>
          <w:rFonts w:ascii="Book Antiqua" w:hAnsi="Book Antiqua"/>
          <w:lang w:val="es-ES_tradnl"/>
        </w:rPr>
        <w:t xml:space="preserve"> </w:t>
      </w:r>
      <w:r w:rsidRPr="00A528D9">
        <w:rPr>
          <w:rFonts w:ascii="Book Antiqua" w:hAnsi="Book Antiqua"/>
          <w:lang w:val="es-ES_tradnl"/>
        </w:rPr>
        <w:t>y demás</w:t>
      </w:r>
      <w:r>
        <w:rPr>
          <w:rFonts w:ascii="Book Antiqua" w:hAnsi="Book Antiqua"/>
          <w:lang w:val="es-ES_tradnl"/>
        </w:rPr>
        <w:t xml:space="preserve"> </w:t>
      </w:r>
      <w:r w:rsidRPr="00A528D9">
        <w:rPr>
          <w:rFonts w:ascii="Book Antiqua" w:hAnsi="Book Antiqua"/>
          <w:lang w:val="es-ES_tradnl"/>
        </w:rPr>
        <w:t>usuarios de las vías públicas. En fiel cumplimiento a la política pública</w:t>
      </w:r>
      <w:r>
        <w:rPr>
          <w:rFonts w:ascii="Book Antiqua" w:hAnsi="Book Antiqua"/>
          <w:lang w:val="es-ES_tradnl"/>
        </w:rPr>
        <w:t xml:space="preserve"> </w:t>
      </w:r>
      <w:r w:rsidRPr="00A528D9">
        <w:rPr>
          <w:rFonts w:ascii="Book Antiqua" w:hAnsi="Book Antiqua"/>
          <w:lang w:val="es-ES_tradnl"/>
        </w:rPr>
        <w:t>establecida en la</w:t>
      </w:r>
      <w:r>
        <w:rPr>
          <w:rFonts w:ascii="Book Antiqua" w:hAnsi="Book Antiqua"/>
          <w:lang w:val="es-ES_tradnl"/>
        </w:rPr>
        <w:t xml:space="preserve"> </w:t>
      </w:r>
      <w:r w:rsidRPr="00A528D9">
        <w:rPr>
          <w:rFonts w:ascii="Book Antiqua" w:hAnsi="Book Antiqua"/>
          <w:lang w:val="es-ES_tradnl"/>
        </w:rPr>
        <w:t xml:space="preserve">Ley 22-2000, según enmendada, conocida como </w:t>
      </w:r>
      <w:r w:rsidR="009A4C97">
        <w:rPr>
          <w:rFonts w:ascii="Book Antiqua" w:hAnsi="Book Antiqua"/>
          <w:lang w:val="es-ES_tradnl"/>
        </w:rPr>
        <w:t>“</w:t>
      </w:r>
      <w:r w:rsidRPr="00A528D9">
        <w:rPr>
          <w:rFonts w:ascii="Book Antiqua" w:hAnsi="Book Antiqua"/>
          <w:lang w:val="es-ES_tradnl"/>
        </w:rPr>
        <w:t>Ley de Vehículos y</w:t>
      </w:r>
      <w:r>
        <w:rPr>
          <w:rFonts w:ascii="Book Antiqua" w:hAnsi="Book Antiqua"/>
          <w:lang w:val="es-ES_tradnl"/>
        </w:rPr>
        <w:t xml:space="preserve"> </w:t>
      </w:r>
      <w:r w:rsidRPr="00A528D9">
        <w:rPr>
          <w:rFonts w:ascii="Book Antiqua" w:hAnsi="Book Antiqua"/>
          <w:lang w:val="es-ES_tradnl"/>
        </w:rPr>
        <w:t>Tránsito de Puerto</w:t>
      </w:r>
      <w:r>
        <w:rPr>
          <w:rFonts w:ascii="Book Antiqua" w:hAnsi="Book Antiqua"/>
          <w:lang w:val="es-ES_tradnl"/>
        </w:rPr>
        <w:t xml:space="preserve"> </w:t>
      </w:r>
      <w:r w:rsidRPr="00A528D9">
        <w:rPr>
          <w:rFonts w:ascii="Book Antiqua" w:hAnsi="Book Antiqua"/>
          <w:lang w:val="es-ES_tradnl"/>
        </w:rPr>
        <w:t>Rico</w:t>
      </w:r>
      <w:r w:rsidR="009A4C97">
        <w:rPr>
          <w:rFonts w:ascii="Book Antiqua" w:hAnsi="Book Antiqua"/>
          <w:lang w:val="es-ES_tradnl"/>
        </w:rPr>
        <w:t>”</w:t>
      </w:r>
      <w:r w:rsidRPr="00A528D9">
        <w:rPr>
          <w:rFonts w:ascii="Book Antiqua" w:hAnsi="Book Antiqua"/>
          <w:lang w:val="es-ES_tradnl"/>
        </w:rPr>
        <w:t>, e</w:t>
      </w:r>
      <w:r>
        <w:rPr>
          <w:rFonts w:ascii="Book Antiqua" w:hAnsi="Book Antiqua"/>
          <w:lang w:val="es-ES_tradnl"/>
        </w:rPr>
        <w:t>l</w:t>
      </w:r>
      <w:r w:rsidRPr="00A528D9">
        <w:rPr>
          <w:rFonts w:ascii="Book Antiqua" w:hAnsi="Book Antiqua"/>
          <w:lang w:val="es-ES_tradnl"/>
        </w:rPr>
        <w:t xml:space="preserve"> NPPR ha delineado su andamiaje operacional y ha</w:t>
      </w:r>
      <w:r>
        <w:rPr>
          <w:rFonts w:ascii="Book Antiqua" w:hAnsi="Book Antiqua"/>
          <w:lang w:val="es-ES_tradnl"/>
        </w:rPr>
        <w:t xml:space="preserve"> </w:t>
      </w:r>
      <w:r w:rsidRPr="00A528D9">
        <w:rPr>
          <w:rFonts w:ascii="Book Antiqua" w:hAnsi="Book Antiqua"/>
          <w:lang w:val="es-ES_tradnl"/>
        </w:rPr>
        <w:t>desarrollado normativa</w:t>
      </w:r>
      <w:r w:rsidR="00B26F88">
        <w:rPr>
          <w:rFonts w:ascii="Book Antiqua" w:hAnsi="Book Antiqua"/>
          <w:lang w:val="es-ES_tradnl"/>
        </w:rPr>
        <w:t>s</w:t>
      </w:r>
      <w:r w:rsidRPr="00A528D9">
        <w:rPr>
          <w:rFonts w:ascii="Book Antiqua" w:hAnsi="Book Antiqua"/>
          <w:lang w:val="es-ES_tradnl"/>
        </w:rPr>
        <w:t xml:space="preserve"> sobre</w:t>
      </w:r>
      <w:r>
        <w:rPr>
          <w:rFonts w:ascii="Book Antiqua" w:hAnsi="Book Antiqua"/>
          <w:lang w:val="es-ES_tradnl"/>
        </w:rPr>
        <w:t xml:space="preserve"> </w:t>
      </w:r>
      <w:r w:rsidRPr="00A528D9">
        <w:rPr>
          <w:rFonts w:ascii="Book Antiqua" w:hAnsi="Book Antiqua"/>
          <w:lang w:val="es-ES_tradnl"/>
        </w:rPr>
        <w:t xml:space="preserve">los procedimientos, así como </w:t>
      </w:r>
      <w:r>
        <w:rPr>
          <w:rFonts w:ascii="Book Antiqua" w:hAnsi="Book Antiqua"/>
          <w:lang w:val="es-ES_tradnl"/>
        </w:rPr>
        <w:t>l</w:t>
      </w:r>
      <w:r w:rsidRPr="00A528D9">
        <w:rPr>
          <w:rFonts w:ascii="Book Antiqua" w:hAnsi="Book Antiqua"/>
          <w:lang w:val="es-ES_tradnl"/>
        </w:rPr>
        <w:t>os deberes y</w:t>
      </w:r>
      <w:r>
        <w:rPr>
          <w:rFonts w:ascii="Book Antiqua" w:hAnsi="Book Antiqua"/>
          <w:lang w:val="es-ES_tradnl"/>
        </w:rPr>
        <w:t xml:space="preserve"> </w:t>
      </w:r>
      <w:r w:rsidRPr="00A528D9">
        <w:rPr>
          <w:rFonts w:ascii="Book Antiqua" w:hAnsi="Book Antiqua"/>
          <w:lang w:val="es-ES_tradnl"/>
        </w:rPr>
        <w:t xml:space="preserve">responsabilidades de </w:t>
      </w:r>
      <w:r>
        <w:rPr>
          <w:rFonts w:ascii="Book Antiqua" w:hAnsi="Book Antiqua"/>
          <w:lang w:val="es-ES_tradnl"/>
        </w:rPr>
        <w:t>l</w:t>
      </w:r>
      <w:r w:rsidRPr="00A528D9">
        <w:rPr>
          <w:rFonts w:ascii="Book Antiqua" w:hAnsi="Book Antiqua"/>
          <w:lang w:val="es-ES_tradnl"/>
        </w:rPr>
        <w:t xml:space="preserve">os </w:t>
      </w:r>
      <w:r>
        <w:rPr>
          <w:rFonts w:ascii="Book Antiqua" w:hAnsi="Book Antiqua"/>
          <w:lang w:val="es-ES_tradnl"/>
        </w:rPr>
        <w:t>integrantes</w:t>
      </w:r>
      <w:r w:rsidRPr="00A528D9">
        <w:rPr>
          <w:rFonts w:ascii="Book Antiqua" w:hAnsi="Book Antiqua"/>
          <w:lang w:val="es-ES_tradnl"/>
        </w:rPr>
        <w:t xml:space="preserve"> del</w:t>
      </w:r>
      <w:r>
        <w:rPr>
          <w:rFonts w:ascii="Book Antiqua" w:hAnsi="Book Antiqua"/>
          <w:lang w:val="es-ES_tradnl"/>
        </w:rPr>
        <w:t xml:space="preserve"> NPPR</w:t>
      </w:r>
      <w:r w:rsidRPr="00A528D9">
        <w:rPr>
          <w:rFonts w:ascii="Book Antiqua" w:hAnsi="Book Antiqua"/>
          <w:lang w:val="es-ES_tradnl"/>
        </w:rPr>
        <w:t xml:space="preserve"> para hacer cumplir </w:t>
      </w:r>
      <w:r>
        <w:rPr>
          <w:rFonts w:ascii="Book Antiqua" w:hAnsi="Book Antiqua"/>
          <w:lang w:val="es-ES_tradnl"/>
        </w:rPr>
        <w:t>l</w:t>
      </w:r>
      <w:r w:rsidRPr="00A528D9">
        <w:rPr>
          <w:rFonts w:ascii="Book Antiqua" w:hAnsi="Book Antiqua"/>
          <w:lang w:val="es-ES_tradnl"/>
        </w:rPr>
        <w:t>a</w:t>
      </w:r>
      <w:r w:rsidR="00B26F88">
        <w:rPr>
          <w:rFonts w:ascii="Book Antiqua" w:hAnsi="Book Antiqua"/>
          <w:lang w:val="es-ES_tradnl"/>
        </w:rPr>
        <w:t>s</w:t>
      </w:r>
      <w:r w:rsidRPr="00A528D9">
        <w:rPr>
          <w:rFonts w:ascii="Book Antiqua" w:hAnsi="Book Antiqua"/>
          <w:lang w:val="es-ES_tradnl"/>
        </w:rPr>
        <w:t xml:space="preserve"> misma</w:t>
      </w:r>
      <w:r w:rsidR="00B26F88">
        <w:rPr>
          <w:rFonts w:ascii="Book Antiqua" w:hAnsi="Book Antiqua"/>
          <w:lang w:val="es-ES_tradnl"/>
        </w:rPr>
        <w:t>s</w:t>
      </w:r>
      <w:r w:rsidRPr="00A528D9">
        <w:rPr>
          <w:rFonts w:ascii="Book Antiqua" w:hAnsi="Book Antiqua"/>
          <w:lang w:val="es-ES_tradnl"/>
        </w:rPr>
        <w:t>.</w:t>
      </w:r>
    </w:p>
    <w:p w14:paraId="03E68B93" w14:textId="77777777" w:rsidR="00A528D9" w:rsidRDefault="00A528D9" w:rsidP="00A528D9">
      <w:pPr>
        <w:jc w:val="both"/>
        <w:rPr>
          <w:rFonts w:ascii="Book Antiqua" w:hAnsi="Book Antiqua"/>
          <w:lang w:val="es-ES_tradnl"/>
        </w:rPr>
      </w:pPr>
    </w:p>
    <w:p w14:paraId="1669712A" w14:textId="5D89A202" w:rsidR="00A528D9" w:rsidRDefault="00DE390F" w:rsidP="00CF2049">
      <w:pPr>
        <w:ind w:firstLine="720"/>
        <w:jc w:val="both"/>
        <w:rPr>
          <w:rFonts w:ascii="Book Antiqua" w:hAnsi="Book Antiqua"/>
          <w:lang w:val="es-ES_tradnl"/>
        </w:rPr>
      </w:pPr>
      <w:r>
        <w:rPr>
          <w:rFonts w:ascii="Book Antiqua" w:hAnsi="Book Antiqua"/>
          <w:lang w:val="es-ES_tradnl"/>
        </w:rPr>
        <w:t xml:space="preserve">El DSP y el NPPR </w:t>
      </w:r>
      <w:r w:rsidR="00B26F88">
        <w:rPr>
          <w:rFonts w:ascii="Book Antiqua" w:hAnsi="Book Antiqua"/>
          <w:lang w:val="es-ES_tradnl"/>
        </w:rPr>
        <w:t>expresaron</w:t>
      </w:r>
      <w:r>
        <w:rPr>
          <w:rFonts w:ascii="Book Antiqua" w:hAnsi="Book Antiqua"/>
          <w:lang w:val="es-ES_tradnl"/>
        </w:rPr>
        <w:t xml:space="preserve"> que las enmiendas propuestas en el P. de la C. 1957 dotan de mayor rigurosidad a nuestro ordenamiento, en lo que corresponde a la materia de accidentes de tránsito, particularmente cuando una de las partes involucradas abandona la escena. Asimismo, indicaron que “imponer condiciones más severas, sin duda, puede servir como disuasivo para que los ciudadanos, de manera responsable y ejerciendo un alto grado de conciencia, eviten incurrir en este tipo de conducta delictiva”. </w:t>
      </w:r>
    </w:p>
    <w:p w14:paraId="5F703159" w14:textId="77777777" w:rsidR="00DE390F" w:rsidRDefault="00DE390F" w:rsidP="00A528D9">
      <w:pPr>
        <w:jc w:val="both"/>
        <w:rPr>
          <w:rFonts w:ascii="Book Antiqua" w:hAnsi="Book Antiqua"/>
          <w:lang w:val="es-ES_tradnl"/>
        </w:rPr>
      </w:pPr>
    </w:p>
    <w:p w14:paraId="28E353B1" w14:textId="465DBAA5" w:rsidR="00DE390F" w:rsidRDefault="00DE390F" w:rsidP="00CF2049">
      <w:pPr>
        <w:ind w:firstLine="720"/>
        <w:jc w:val="both"/>
        <w:rPr>
          <w:rFonts w:ascii="Book Antiqua" w:hAnsi="Book Antiqua"/>
          <w:lang w:val="es-ES_tradnl"/>
        </w:rPr>
      </w:pPr>
      <w:r>
        <w:rPr>
          <w:rFonts w:ascii="Book Antiqua" w:hAnsi="Book Antiqua"/>
          <w:lang w:val="es-ES_tradnl"/>
        </w:rPr>
        <w:t xml:space="preserve">Igualmente, señalaron que </w:t>
      </w:r>
      <w:proofErr w:type="gramStart"/>
      <w:r>
        <w:rPr>
          <w:rFonts w:ascii="Book Antiqua" w:hAnsi="Book Antiqua"/>
          <w:lang w:val="es-ES_tradnl"/>
        </w:rPr>
        <w:t>le</w:t>
      </w:r>
      <w:proofErr w:type="gramEnd"/>
      <w:r>
        <w:rPr>
          <w:rFonts w:ascii="Book Antiqua" w:hAnsi="Book Antiqua"/>
          <w:lang w:val="es-ES_tradnl"/>
        </w:rPr>
        <w:t xml:space="preserve"> han dado fiel cumplimiento a las disposiciones de la Ley 187-2016, conocida como la “Ley de Alerta Mayra Elías contra el </w:t>
      </w:r>
      <w:r>
        <w:rPr>
          <w:rFonts w:ascii="Book Antiqua" w:hAnsi="Book Antiqua"/>
          <w:i/>
          <w:iCs/>
          <w:lang w:val="es-ES_tradnl"/>
        </w:rPr>
        <w:t>Hit &amp; Run</w:t>
      </w:r>
      <w:r>
        <w:rPr>
          <w:rFonts w:ascii="Book Antiqua" w:hAnsi="Book Antiqua"/>
          <w:lang w:val="es-ES_tradnl"/>
        </w:rPr>
        <w:t>”</w:t>
      </w:r>
      <w:r w:rsidR="00CF2049">
        <w:rPr>
          <w:rFonts w:ascii="Book Antiqua" w:hAnsi="Book Antiqua"/>
          <w:lang w:val="es-ES_tradnl"/>
        </w:rPr>
        <w:t xml:space="preserve">, y puntualizaron que entre los criterios que deben concurrir para la activación de la Alerta Mayra Elías, se encuentra que el NPPR corrobore la existencia de un accidente de auto en el que se identifiquen violaciones a los Artículos 4.01 y 5.07 de la Ley 22-2000, según enmendada. </w:t>
      </w:r>
    </w:p>
    <w:p w14:paraId="0154A67E" w14:textId="6B3CFE1F" w:rsidR="006C49EA" w:rsidRDefault="006C49EA" w:rsidP="006C49EA">
      <w:pPr>
        <w:ind w:firstLine="720"/>
        <w:jc w:val="both"/>
        <w:rPr>
          <w:rFonts w:ascii="Book Antiqua" w:hAnsi="Book Antiqua"/>
          <w:lang w:val="es-ES_tradnl"/>
        </w:rPr>
      </w:pPr>
      <w:r>
        <w:rPr>
          <w:rFonts w:ascii="Book Antiqua" w:hAnsi="Book Antiqua"/>
          <w:lang w:val="es-ES_tradnl"/>
        </w:rPr>
        <w:lastRenderedPageBreak/>
        <w:t xml:space="preserve">El NPPR proporcionó los siguientes datos a la Comisión de lo Jurídico que enumeran la cantidad de accidentes tipo </w:t>
      </w:r>
      <w:r w:rsidRPr="006C49EA">
        <w:rPr>
          <w:rFonts w:ascii="Book Antiqua" w:hAnsi="Book Antiqua"/>
          <w:i/>
          <w:iCs/>
          <w:lang w:val="es-ES_tradnl"/>
        </w:rPr>
        <w:t>hit and run</w:t>
      </w:r>
      <w:r>
        <w:rPr>
          <w:rFonts w:ascii="Book Antiqua" w:hAnsi="Book Antiqua"/>
          <w:lang w:val="es-ES_tradnl"/>
        </w:rPr>
        <w:t xml:space="preserve"> ocurridos en Puerto Rico durante los pasados dos años:</w:t>
      </w:r>
    </w:p>
    <w:p w14:paraId="4466DD68" w14:textId="77777777" w:rsidR="006C49EA" w:rsidRDefault="006C49EA" w:rsidP="006C49EA">
      <w:pPr>
        <w:ind w:firstLine="720"/>
        <w:jc w:val="both"/>
        <w:rPr>
          <w:rFonts w:ascii="Book Antiqua" w:hAnsi="Book Antiqua"/>
          <w:lang w:val="es-ES_tradnl"/>
        </w:rPr>
      </w:pPr>
    </w:p>
    <w:tbl>
      <w:tblPr>
        <w:tblStyle w:val="TableGrid"/>
        <w:tblW w:w="0" w:type="auto"/>
        <w:tblLook w:val="04A0" w:firstRow="1" w:lastRow="0" w:firstColumn="1" w:lastColumn="0" w:noHBand="0" w:noVBand="1"/>
      </w:tblPr>
      <w:tblGrid>
        <w:gridCol w:w="3116"/>
        <w:gridCol w:w="3117"/>
        <w:gridCol w:w="3117"/>
      </w:tblGrid>
      <w:tr w:rsidR="006C49EA" w14:paraId="770091AA" w14:textId="77777777" w:rsidTr="006C49EA">
        <w:tc>
          <w:tcPr>
            <w:tcW w:w="3116" w:type="dxa"/>
          </w:tcPr>
          <w:p w14:paraId="3149D2EB" w14:textId="6D0B6A02" w:rsidR="006C49EA" w:rsidRPr="006C49EA" w:rsidRDefault="006C49EA" w:rsidP="006C49EA">
            <w:pPr>
              <w:jc w:val="center"/>
              <w:rPr>
                <w:rFonts w:ascii="Book Antiqua" w:hAnsi="Book Antiqua"/>
                <w:b/>
                <w:bCs/>
                <w:lang w:val="es-ES_tradnl"/>
              </w:rPr>
            </w:pPr>
            <w:r w:rsidRPr="006C49EA">
              <w:rPr>
                <w:rFonts w:ascii="Book Antiqua" w:hAnsi="Book Antiqua"/>
                <w:b/>
                <w:bCs/>
                <w:lang w:val="es-ES_tradnl"/>
              </w:rPr>
              <w:t>Año</w:t>
            </w:r>
          </w:p>
        </w:tc>
        <w:tc>
          <w:tcPr>
            <w:tcW w:w="3117" w:type="dxa"/>
          </w:tcPr>
          <w:p w14:paraId="782D4195" w14:textId="58476E21" w:rsidR="006C49EA" w:rsidRPr="006C49EA" w:rsidRDefault="006C49EA" w:rsidP="006C49EA">
            <w:pPr>
              <w:jc w:val="center"/>
              <w:rPr>
                <w:rFonts w:ascii="Book Antiqua" w:hAnsi="Book Antiqua"/>
                <w:b/>
                <w:bCs/>
                <w:lang w:val="es-ES_tradnl"/>
              </w:rPr>
            </w:pPr>
            <w:r w:rsidRPr="006C49EA">
              <w:rPr>
                <w:rFonts w:ascii="Book Antiqua" w:hAnsi="Book Antiqua"/>
                <w:b/>
                <w:bCs/>
                <w:lang w:val="es-ES_tradnl"/>
              </w:rPr>
              <w:t>Graves</w:t>
            </w:r>
          </w:p>
        </w:tc>
        <w:tc>
          <w:tcPr>
            <w:tcW w:w="3117" w:type="dxa"/>
          </w:tcPr>
          <w:p w14:paraId="7B39E484" w14:textId="1F96241B" w:rsidR="006C49EA" w:rsidRPr="006C49EA" w:rsidRDefault="006C49EA" w:rsidP="006C49EA">
            <w:pPr>
              <w:jc w:val="center"/>
              <w:rPr>
                <w:rFonts w:ascii="Book Antiqua" w:hAnsi="Book Antiqua"/>
                <w:b/>
                <w:bCs/>
                <w:lang w:val="es-ES_tradnl"/>
              </w:rPr>
            </w:pPr>
            <w:r w:rsidRPr="006C49EA">
              <w:rPr>
                <w:rFonts w:ascii="Book Antiqua" w:hAnsi="Book Antiqua"/>
                <w:b/>
                <w:bCs/>
                <w:lang w:val="es-ES_tradnl"/>
              </w:rPr>
              <w:t>Fatales</w:t>
            </w:r>
          </w:p>
        </w:tc>
      </w:tr>
      <w:tr w:rsidR="006C49EA" w14:paraId="3147B5A9" w14:textId="77777777" w:rsidTr="006C49EA">
        <w:tc>
          <w:tcPr>
            <w:tcW w:w="3116" w:type="dxa"/>
          </w:tcPr>
          <w:p w14:paraId="6BE10E62" w14:textId="67621DA1" w:rsidR="006C49EA" w:rsidRDefault="006C49EA" w:rsidP="006C49EA">
            <w:pPr>
              <w:jc w:val="center"/>
              <w:rPr>
                <w:rFonts w:ascii="Book Antiqua" w:hAnsi="Book Antiqua"/>
                <w:lang w:val="es-ES_tradnl"/>
              </w:rPr>
            </w:pPr>
            <w:r>
              <w:rPr>
                <w:rFonts w:ascii="Book Antiqua" w:hAnsi="Book Antiqua"/>
                <w:lang w:val="es-ES_tradnl"/>
              </w:rPr>
              <w:t>2022</w:t>
            </w:r>
          </w:p>
        </w:tc>
        <w:tc>
          <w:tcPr>
            <w:tcW w:w="3117" w:type="dxa"/>
          </w:tcPr>
          <w:p w14:paraId="33F1A789" w14:textId="34DF0AA0" w:rsidR="006C49EA" w:rsidRDefault="006C49EA" w:rsidP="006C49EA">
            <w:pPr>
              <w:jc w:val="center"/>
              <w:rPr>
                <w:rFonts w:ascii="Book Antiqua" w:hAnsi="Book Antiqua"/>
                <w:lang w:val="es-ES_tradnl"/>
              </w:rPr>
            </w:pPr>
            <w:r>
              <w:rPr>
                <w:rFonts w:ascii="Book Antiqua" w:hAnsi="Book Antiqua"/>
                <w:lang w:val="es-ES_tradnl"/>
              </w:rPr>
              <w:t>15</w:t>
            </w:r>
          </w:p>
        </w:tc>
        <w:tc>
          <w:tcPr>
            <w:tcW w:w="3117" w:type="dxa"/>
          </w:tcPr>
          <w:p w14:paraId="58B4F5D4" w14:textId="11DE3C7C" w:rsidR="006C49EA" w:rsidRDefault="006C49EA" w:rsidP="006C49EA">
            <w:pPr>
              <w:jc w:val="center"/>
              <w:rPr>
                <w:rFonts w:ascii="Book Antiqua" w:hAnsi="Book Antiqua"/>
                <w:lang w:val="es-ES_tradnl"/>
              </w:rPr>
            </w:pPr>
            <w:r>
              <w:rPr>
                <w:rFonts w:ascii="Book Antiqua" w:hAnsi="Book Antiqua"/>
                <w:lang w:val="es-ES_tradnl"/>
              </w:rPr>
              <w:t>20</w:t>
            </w:r>
          </w:p>
        </w:tc>
      </w:tr>
      <w:tr w:rsidR="006C49EA" w14:paraId="26D3BDDF" w14:textId="77777777" w:rsidTr="006C49EA">
        <w:tc>
          <w:tcPr>
            <w:tcW w:w="3116" w:type="dxa"/>
          </w:tcPr>
          <w:p w14:paraId="2710E099" w14:textId="042B1D56" w:rsidR="006C49EA" w:rsidRDefault="006C49EA" w:rsidP="006C49EA">
            <w:pPr>
              <w:jc w:val="center"/>
              <w:rPr>
                <w:rFonts w:ascii="Book Antiqua" w:hAnsi="Book Antiqua"/>
                <w:lang w:val="es-ES_tradnl"/>
              </w:rPr>
            </w:pPr>
            <w:r>
              <w:rPr>
                <w:rFonts w:ascii="Book Antiqua" w:hAnsi="Book Antiqua"/>
                <w:lang w:val="es-ES_tradnl"/>
              </w:rPr>
              <w:t>Hasta el 24 de diciembre de 2023</w:t>
            </w:r>
          </w:p>
        </w:tc>
        <w:tc>
          <w:tcPr>
            <w:tcW w:w="3117" w:type="dxa"/>
          </w:tcPr>
          <w:p w14:paraId="4D851D01" w14:textId="1F6D965A" w:rsidR="006C49EA" w:rsidRDefault="006C49EA" w:rsidP="006C49EA">
            <w:pPr>
              <w:jc w:val="center"/>
              <w:rPr>
                <w:rFonts w:ascii="Book Antiqua" w:hAnsi="Book Antiqua"/>
                <w:lang w:val="es-ES_tradnl"/>
              </w:rPr>
            </w:pPr>
            <w:r>
              <w:rPr>
                <w:rFonts w:ascii="Book Antiqua" w:hAnsi="Book Antiqua"/>
                <w:lang w:val="es-ES_tradnl"/>
              </w:rPr>
              <w:t>11</w:t>
            </w:r>
          </w:p>
        </w:tc>
        <w:tc>
          <w:tcPr>
            <w:tcW w:w="3117" w:type="dxa"/>
          </w:tcPr>
          <w:p w14:paraId="06B69DE3" w14:textId="7830A7C3" w:rsidR="006C49EA" w:rsidRDefault="006C49EA" w:rsidP="006C49EA">
            <w:pPr>
              <w:jc w:val="center"/>
              <w:rPr>
                <w:rFonts w:ascii="Book Antiqua" w:hAnsi="Book Antiqua"/>
                <w:lang w:val="es-ES_tradnl"/>
              </w:rPr>
            </w:pPr>
            <w:r>
              <w:rPr>
                <w:rFonts w:ascii="Book Antiqua" w:hAnsi="Book Antiqua"/>
                <w:lang w:val="es-ES_tradnl"/>
              </w:rPr>
              <w:t>25</w:t>
            </w:r>
          </w:p>
        </w:tc>
      </w:tr>
    </w:tbl>
    <w:p w14:paraId="0FB90FA8" w14:textId="1C7F532D" w:rsidR="006C49EA" w:rsidRPr="006C49EA" w:rsidRDefault="006C49EA" w:rsidP="006C49EA">
      <w:pPr>
        <w:jc w:val="right"/>
        <w:rPr>
          <w:rFonts w:ascii="Book Antiqua" w:hAnsi="Book Antiqua"/>
          <w:i/>
          <w:iCs/>
          <w:lang w:val="es-ES_tradnl"/>
        </w:rPr>
      </w:pPr>
      <w:r w:rsidRPr="006C49EA">
        <w:rPr>
          <w:rFonts w:ascii="Book Antiqua" w:hAnsi="Book Antiqua"/>
          <w:i/>
          <w:iCs/>
          <w:lang w:val="es-ES_tradnl"/>
        </w:rPr>
        <w:t>Fuente: Negociado de Patrullas de Carreteras del NPPR</w:t>
      </w:r>
    </w:p>
    <w:p w14:paraId="7F654361" w14:textId="77777777" w:rsidR="006C49EA" w:rsidRDefault="006C49EA" w:rsidP="006C49EA">
      <w:pPr>
        <w:jc w:val="both"/>
        <w:rPr>
          <w:rFonts w:ascii="Book Antiqua" w:hAnsi="Book Antiqua"/>
          <w:lang w:val="es-ES_tradnl"/>
        </w:rPr>
      </w:pPr>
    </w:p>
    <w:p w14:paraId="45409EB3" w14:textId="72B11D2C" w:rsidR="00CF2049" w:rsidRPr="00DE390F" w:rsidRDefault="00CF2049" w:rsidP="00CF2049">
      <w:pPr>
        <w:ind w:firstLine="720"/>
        <w:jc w:val="both"/>
        <w:rPr>
          <w:rFonts w:ascii="Book Antiqua" w:hAnsi="Book Antiqua"/>
          <w:lang w:val="es-ES_tradnl"/>
        </w:rPr>
      </w:pPr>
      <w:r>
        <w:rPr>
          <w:rFonts w:ascii="Book Antiqua" w:hAnsi="Book Antiqua"/>
          <w:lang w:val="es-ES_tradnl"/>
        </w:rPr>
        <w:t xml:space="preserve">Asimismo, destacaron que, en esencia, la función del NPPR en este tipo de caso se circunscribe a llevar a cabo la investigación correspondiente cumpliendo con la normativa vigente que rige dicha materia. Sin embargo, expresaron que su función no conlleva la determinación de penas a imponerse ni la recomendación para la imposición de una fianza, la concesión de un desvío y/o la determinación de sentencia suspendida. Finalmente, el DSP y el NPPR favorecieron la medida, pero otorgaron deferencia al Departamento de Justicia en cuanto a los asuntos antes mencionados. </w:t>
      </w:r>
    </w:p>
    <w:p w14:paraId="53514853" w14:textId="77777777" w:rsidR="00A207AA" w:rsidRDefault="00A207AA" w:rsidP="00A207AA">
      <w:pPr>
        <w:jc w:val="both"/>
        <w:rPr>
          <w:rFonts w:ascii="Book Antiqua" w:hAnsi="Book Antiqua"/>
          <w:lang w:val="es-ES_tradnl"/>
        </w:rPr>
      </w:pPr>
    </w:p>
    <w:p w14:paraId="79C75E6F" w14:textId="470993B4" w:rsidR="00132596" w:rsidRDefault="00342ECE" w:rsidP="00342ECE">
      <w:pPr>
        <w:jc w:val="center"/>
        <w:rPr>
          <w:rFonts w:ascii="Book Antiqua" w:hAnsi="Book Antiqua"/>
          <w:b/>
          <w:bCs/>
          <w:u w:val="single"/>
          <w:lang w:val="es-ES_tradnl"/>
        </w:rPr>
      </w:pPr>
      <w:bookmarkStart w:id="5" w:name="_Hlk137738277"/>
      <w:r>
        <w:rPr>
          <w:rFonts w:ascii="Book Antiqua" w:hAnsi="Book Antiqua"/>
          <w:b/>
          <w:bCs/>
          <w:u w:val="single"/>
          <w:lang w:val="es-ES_tradnl"/>
        </w:rPr>
        <w:t>Comisión para la Seguridad en el Tránsito</w:t>
      </w:r>
      <w:r w:rsidR="00132596" w:rsidRPr="00132596">
        <w:rPr>
          <w:rFonts w:ascii="Book Antiqua" w:hAnsi="Book Antiqua"/>
          <w:b/>
          <w:bCs/>
          <w:u w:val="single"/>
          <w:lang w:val="es-ES_tradnl"/>
        </w:rPr>
        <w:t xml:space="preserve"> (</w:t>
      </w:r>
      <w:r>
        <w:rPr>
          <w:rFonts w:ascii="Book Antiqua" w:hAnsi="Book Antiqua"/>
          <w:b/>
          <w:bCs/>
          <w:u w:val="single"/>
          <w:lang w:val="es-ES_tradnl"/>
        </w:rPr>
        <w:t>CST</w:t>
      </w:r>
      <w:r w:rsidR="00132596" w:rsidRPr="00132596">
        <w:rPr>
          <w:rFonts w:ascii="Book Antiqua" w:hAnsi="Book Antiqua"/>
          <w:b/>
          <w:bCs/>
          <w:u w:val="single"/>
          <w:lang w:val="es-ES_tradnl"/>
        </w:rPr>
        <w:t>)</w:t>
      </w:r>
    </w:p>
    <w:bookmarkEnd w:id="5"/>
    <w:p w14:paraId="516E9CA9" w14:textId="77777777" w:rsidR="00132596" w:rsidRDefault="00132596" w:rsidP="00C953E5">
      <w:pPr>
        <w:jc w:val="both"/>
        <w:rPr>
          <w:rFonts w:ascii="Book Antiqua" w:hAnsi="Book Antiqua"/>
          <w:b/>
          <w:bCs/>
          <w:u w:val="single"/>
          <w:lang w:val="es-ES_tradnl"/>
        </w:rPr>
      </w:pPr>
    </w:p>
    <w:p w14:paraId="24EC98B2" w14:textId="77777777" w:rsidR="009A4C97" w:rsidRDefault="009A4C97" w:rsidP="00342ECE">
      <w:pPr>
        <w:ind w:firstLine="720"/>
        <w:jc w:val="both"/>
        <w:rPr>
          <w:rFonts w:ascii="Book Antiqua" w:hAnsi="Book Antiqua"/>
          <w:lang w:val="es-ES_tradnl"/>
        </w:rPr>
      </w:pPr>
      <w:r>
        <w:rPr>
          <w:rFonts w:ascii="Book Antiqua" w:hAnsi="Book Antiqua"/>
          <w:lang w:val="es-ES_tradnl"/>
        </w:rPr>
        <w:t>L</w:t>
      </w:r>
      <w:r w:rsidR="00602310">
        <w:rPr>
          <w:rFonts w:ascii="Book Antiqua" w:hAnsi="Book Antiqua"/>
          <w:lang w:val="es-ES_tradnl"/>
        </w:rPr>
        <w:t xml:space="preserve">a </w:t>
      </w:r>
      <w:r w:rsidR="00342ECE" w:rsidRPr="00342ECE">
        <w:rPr>
          <w:rFonts w:ascii="Book Antiqua" w:hAnsi="Book Antiqua"/>
          <w:lang w:val="es-ES_tradnl"/>
        </w:rPr>
        <w:t>Comisión para la Seguridad en el Tránsito (CST)</w:t>
      </w:r>
      <w:r w:rsidR="00602310">
        <w:rPr>
          <w:rFonts w:ascii="Book Antiqua" w:hAnsi="Book Antiqua"/>
          <w:lang w:val="es-ES_tradnl"/>
        </w:rPr>
        <w:t xml:space="preserve"> </w:t>
      </w:r>
      <w:r>
        <w:rPr>
          <w:rFonts w:ascii="Book Antiqua" w:hAnsi="Book Antiqua"/>
          <w:lang w:val="es-ES_tradnl"/>
        </w:rPr>
        <w:t xml:space="preserve">endosó el P. de la C. 1957 y sugirió enmiendas dirigidas a aclarar el texto que se pretender enmendar de la Ley 22-2000, según enmendada, conocida como </w:t>
      </w:r>
      <w:r w:rsidRPr="009A4C97">
        <w:rPr>
          <w:rFonts w:ascii="Book Antiqua" w:hAnsi="Book Antiqua"/>
          <w:lang w:val="es-ES_tradnl"/>
        </w:rPr>
        <w:t>“Ley de Vehículos y Tránsito de Puerto Rico”</w:t>
      </w:r>
      <w:r>
        <w:rPr>
          <w:rFonts w:ascii="Book Antiqua" w:hAnsi="Book Antiqua"/>
          <w:lang w:val="es-ES_tradnl"/>
        </w:rPr>
        <w:t>.</w:t>
      </w:r>
    </w:p>
    <w:p w14:paraId="654A6FD7" w14:textId="77777777" w:rsidR="009A4C97" w:rsidRDefault="009A4C97" w:rsidP="00342ECE">
      <w:pPr>
        <w:ind w:firstLine="720"/>
        <w:jc w:val="both"/>
        <w:rPr>
          <w:rFonts w:ascii="Book Antiqua" w:hAnsi="Book Antiqua"/>
          <w:lang w:val="es-ES_tradnl"/>
        </w:rPr>
      </w:pPr>
    </w:p>
    <w:p w14:paraId="0F0CEB84" w14:textId="542C2073" w:rsidR="00110C5A" w:rsidRDefault="009A4C97" w:rsidP="00342ECE">
      <w:pPr>
        <w:ind w:firstLine="720"/>
        <w:jc w:val="both"/>
        <w:rPr>
          <w:rFonts w:ascii="Book Antiqua" w:hAnsi="Book Antiqua"/>
          <w:lang w:val="es-PR"/>
        </w:rPr>
      </w:pPr>
      <w:r>
        <w:rPr>
          <w:rFonts w:ascii="Book Antiqua" w:hAnsi="Book Antiqua"/>
          <w:lang w:val="es-ES_tradnl"/>
        </w:rPr>
        <w:t xml:space="preserve">La </w:t>
      </w:r>
      <w:r w:rsidR="00533A7B">
        <w:rPr>
          <w:rFonts w:ascii="Book Antiqua" w:hAnsi="Book Antiqua"/>
          <w:lang w:val="es-ES_tradnl"/>
        </w:rPr>
        <w:t>agencia</w:t>
      </w:r>
      <w:r>
        <w:rPr>
          <w:rFonts w:ascii="Book Antiqua" w:hAnsi="Book Antiqua"/>
          <w:lang w:val="es-ES_tradnl"/>
        </w:rPr>
        <w:t xml:space="preserve"> destacó que, aunque nuestro ordenamiento jurídico provee disposiciones legales para procesar a las personas que ocasionen un accidente y abandonen la escena, esta mala práctica ajena del civismo humano debe ser erradicada</w:t>
      </w:r>
      <w:r w:rsidR="00FA7461">
        <w:rPr>
          <w:rFonts w:ascii="Book Antiqua" w:hAnsi="Book Antiqua"/>
          <w:lang w:val="es-ES_tradnl"/>
        </w:rPr>
        <w:t xml:space="preserve">, y que la pieza legislativa ante nuestra consideración promueve medidas más restrictivas y agresivas para penalizar este tipo de acto, en aras de promulgar un andamiaje legal que redunde en la promoción de que las personas involucradas en un accidente de tránsito permanezcan en la escena. </w:t>
      </w:r>
      <w:r>
        <w:rPr>
          <w:rFonts w:ascii="Book Antiqua" w:hAnsi="Book Antiqua"/>
          <w:lang w:val="es-ES_tradnl"/>
        </w:rPr>
        <w:t xml:space="preserve"> </w:t>
      </w:r>
    </w:p>
    <w:p w14:paraId="586FEB1E" w14:textId="77777777" w:rsidR="00342ECE" w:rsidRDefault="00342ECE" w:rsidP="00342ECE">
      <w:pPr>
        <w:jc w:val="both"/>
        <w:rPr>
          <w:rFonts w:ascii="Book Antiqua" w:hAnsi="Book Antiqua"/>
          <w:lang w:val="es-PR"/>
        </w:rPr>
      </w:pPr>
    </w:p>
    <w:p w14:paraId="1D493CBE" w14:textId="7B3F9488" w:rsidR="00FA7461" w:rsidRDefault="00FA7461" w:rsidP="00342ECE">
      <w:pPr>
        <w:jc w:val="both"/>
        <w:rPr>
          <w:rFonts w:ascii="Book Antiqua" w:hAnsi="Book Antiqua"/>
          <w:lang w:val="es-PR"/>
        </w:rPr>
      </w:pPr>
      <w:r>
        <w:rPr>
          <w:rFonts w:ascii="Book Antiqua" w:hAnsi="Book Antiqua"/>
          <w:lang w:val="es-PR"/>
        </w:rPr>
        <w:tab/>
      </w:r>
      <w:r w:rsidR="00E15C7C">
        <w:rPr>
          <w:rFonts w:ascii="Book Antiqua" w:hAnsi="Book Antiqua"/>
          <w:lang w:val="es-PR"/>
        </w:rPr>
        <w:t>Asimismo, la CST ofreció</w:t>
      </w:r>
      <w:r w:rsidR="00533A7B">
        <w:rPr>
          <w:rFonts w:ascii="Book Antiqua" w:hAnsi="Book Antiqua"/>
          <w:lang w:val="es-PR"/>
        </w:rPr>
        <w:t xml:space="preserve"> las siguientes</w:t>
      </w:r>
      <w:r w:rsidR="00E15C7C">
        <w:rPr>
          <w:rFonts w:ascii="Book Antiqua" w:hAnsi="Book Antiqua"/>
          <w:lang w:val="es-PR"/>
        </w:rPr>
        <w:t xml:space="preserve"> estadísticas sobre la cantidad de accidentes</w:t>
      </w:r>
      <w:r w:rsidR="00E15C7C" w:rsidRPr="00E15C7C">
        <w:rPr>
          <w:rFonts w:ascii="Book Antiqua" w:hAnsi="Book Antiqua"/>
          <w:lang w:val="es-PR"/>
        </w:rPr>
        <w:t xml:space="preserve"> </w:t>
      </w:r>
      <w:r w:rsidR="00E15C7C">
        <w:rPr>
          <w:rFonts w:ascii="Book Antiqua" w:hAnsi="Book Antiqua"/>
          <w:lang w:val="es-PR"/>
        </w:rPr>
        <w:t>fatales automovilísticos en Puerto Rico durante un periodo de diez años, de 2012 a 2022, incluyendo los ocasionados por el alcohol</w:t>
      </w:r>
      <w:r w:rsidR="00533A7B">
        <w:rPr>
          <w:rFonts w:ascii="Book Antiqua" w:hAnsi="Book Antiqua"/>
          <w:lang w:val="es-PR"/>
        </w:rPr>
        <w:t>:</w:t>
      </w:r>
    </w:p>
    <w:p w14:paraId="3F423747" w14:textId="77777777" w:rsidR="00E15C7C" w:rsidRDefault="00E15C7C" w:rsidP="00342ECE">
      <w:pPr>
        <w:jc w:val="both"/>
        <w:rPr>
          <w:rFonts w:ascii="Book Antiqua" w:hAnsi="Book Antiqua"/>
          <w:lang w:val="es-PR"/>
        </w:rPr>
      </w:pPr>
    </w:p>
    <w:tbl>
      <w:tblPr>
        <w:tblStyle w:val="TableGrid"/>
        <w:tblW w:w="0" w:type="auto"/>
        <w:tblLook w:val="04A0" w:firstRow="1" w:lastRow="0" w:firstColumn="1" w:lastColumn="0" w:noHBand="0" w:noVBand="1"/>
      </w:tblPr>
      <w:tblGrid>
        <w:gridCol w:w="2337"/>
        <w:gridCol w:w="2337"/>
        <w:gridCol w:w="2338"/>
        <w:gridCol w:w="2338"/>
      </w:tblGrid>
      <w:tr w:rsidR="00E15C7C" w14:paraId="7B7E2B2F" w14:textId="77777777" w:rsidTr="00E15C7C">
        <w:tc>
          <w:tcPr>
            <w:tcW w:w="2337" w:type="dxa"/>
          </w:tcPr>
          <w:p w14:paraId="0533C361" w14:textId="15D0858C" w:rsidR="00E15C7C" w:rsidRDefault="00E15C7C" w:rsidP="00E15C7C">
            <w:pPr>
              <w:jc w:val="center"/>
              <w:rPr>
                <w:rFonts w:ascii="Book Antiqua" w:hAnsi="Book Antiqua"/>
                <w:lang w:val="es-PR"/>
              </w:rPr>
            </w:pPr>
            <w:r>
              <w:rPr>
                <w:rFonts w:ascii="Book Antiqua" w:hAnsi="Book Antiqua"/>
                <w:lang w:val="es-PR"/>
              </w:rPr>
              <w:t>Año</w:t>
            </w:r>
          </w:p>
        </w:tc>
        <w:tc>
          <w:tcPr>
            <w:tcW w:w="2337" w:type="dxa"/>
          </w:tcPr>
          <w:p w14:paraId="2DDB03D5" w14:textId="7503B7B8" w:rsidR="00E15C7C" w:rsidRDefault="00E15C7C" w:rsidP="00E15C7C">
            <w:pPr>
              <w:jc w:val="center"/>
              <w:rPr>
                <w:rFonts w:ascii="Book Antiqua" w:hAnsi="Book Antiqua"/>
                <w:lang w:val="es-PR"/>
              </w:rPr>
            </w:pPr>
            <w:r>
              <w:rPr>
                <w:rFonts w:ascii="Book Antiqua" w:hAnsi="Book Antiqua"/>
                <w:lang w:val="es-PR"/>
              </w:rPr>
              <w:t>Total de accidentes fatales</w:t>
            </w:r>
          </w:p>
        </w:tc>
        <w:tc>
          <w:tcPr>
            <w:tcW w:w="2338" w:type="dxa"/>
          </w:tcPr>
          <w:p w14:paraId="462EC092" w14:textId="7371D81D" w:rsidR="00E15C7C" w:rsidRDefault="00E15C7C" w:rsidP="00E15C7C">
            <w:pPr>
              <w:jc w:val="center"/>
              <w:rPr>
                <w:rFonts w:ascii="Book Antiqua" w:hAnsi="Book Antiqua"/>
                <w:lang w:val="es-PR"/>
              </w:rPr>
            </w:pPr>
            <w:r>
              <w:rPr>
                <w:rFonts w:ascii="Book Antiqua" w:hAnsi="Book Antiqua"/>
                <w:lang w:val="es-PR"/>
              </w:rPr>
              <w:t>Total de accidentes fatales por alcohol</w:t>
            </w:r>
          </w:p>
        </w:tc>
        <w:tc>
          <w:tcPr>
            <w:tcW w:w="2338" w:type="dxa"/>
          </w:tcPr>
          <w:p w14:paraId="0A9E71BE" w14:textId="6F318C6D" w:rsidR="00E15C7C" w:rsidRDefault="00E15C7C" w:rsidP="00E15C7C">
            <w:pPr>
              <w:jc w:val="center"/>
              <w:rPr>
                <w:rFonts w:ascii="Book Antiqua" w:hAnsi="Book Antiqua"/>
                <w:lang w:val="es-PR"/>
              </w:rPr>
            </w:pPr>
            <w:r>
              <w:rPr>
                <w:rFonts w:ascii="Book Antiqua" w:hAnsi="Book Antiqua"/>
                <w:lang w:val="es-PR"/>
              </w:rPr>
              <w:t>Por ciento</w:t>
            </w:r>
          </w:p>
        </w:tc>
      </w:tr>
      <w:tr w:rsidR="00E15C7C" w14:paraId="77719593" w14:textId="77777777" w:rsidTr="00E15C7C">
        <w:tc>
          <w:tcPr>
            <w:tcW w:w="2337" w:type="dxa"/>
          </w:tcPr>
          <w:p w14:paraId="324BADE0" w14:textId="283FC6A8" w:rsidR="00E15C7C" w:rsidRDefault="00E15C7C" w:rsidP="00E15C7C">
            <w:pPr>
              <w:jc w:val="center"/>
              <w:rPr>
                <w:rFonts w:ascii="Book Antiqua" w:hAnsi="Book Antiqua"/>
                <w:lang w:val="es-PR"/>
              </w:rPr>
            </w:pPr>
            <w:r>
              <w:rPr>
                <w:rFonts w:ascii="Book Antiqua" w:hAnsi="Book Antiqua"/>
                <w:lang w:val="es-PR"/>
              </w:rPr>
              <w:t>2012</w:t>
            </w:r>
          </w:p>
        </w:tc>
        <w:tc>
          <w:tcPr>
            <w:tcW w:w="2337" w:type="dxa"/>
          </w:tcPr>
          <w:p w14:paraId="1C5A3156" w14:textId="05BE17FA" w:rsidR="00E15C7C" w:rsidRDefault="00016BE0" w:rsidP="00E15C7C">
            <w:pPr>
              <w:jc w:val="center"/>
              <w:rPr>
                <w:rFonts w:ascii="Book Antiqua" w:hAnsi="Book Antiqua"/>
                <w:lang w:val="es-PR"/>
              </w:rPr>
            </w:pPr>
            <w:r>
              <w:rPr>
                <w:rFonts w:ascii="Book Antiqua" w:hAnsi="Book Antiqua"/>
                <w:lang w:val="es-PR"/>
              </w:rPr>
              <w:t>366</w:t>
            </w:r>
          </w:p>
        </w:tc>
        <w:tc>
          <w:tcPr>
            <w:tcW w:w="2338" w:type="dxa"/>
          </w:tcPr>
          <w:p w14:paraId="4B23643E" w14:textId="43D6800D" w:rsidR="00E15C7C" w:rsidRDefault="00016BE0" w:rsidP="00E15C7C">
            <w:pPr>
              <w:jc w:val="center"/>
              <w:rPr>
                <w:rFonts w:ascii="Book Antiqua" w:hAnsi="Book Antiqua"/>
                <w:lang w:val="es-PR"/>
              </w:rPr>
            </w:pPr>
            <w:r>
              <w:rPr>
                <w:rFonts w:ascii="Book Antiqua" w:hAnsi="Book Antiqua"/>
                <w:lang w:val="es-PR"/>
              </w:rPr>
              <w:t>194</w:t>
            </w:r>
          </w:p>
        </w:tc>
        <w:tc>
          <w:tcPr>
            <w:tcW w:w="2338" w:type="dxa"/>
          </w:tcPr>
          <w:p w14:paraId="27C97A9D" w14:textId="10F5674A" w:rsidR="00E15C7C" w:rsidRDefault="00016BE0" w:rsidP="00E15C7C">
            <w:pPr>
              <w:jc w:val="center"/>
              <w:rPr>
                <w:rFonts w:ascii="Book Antiqua" w:hAnsi="Book Antiqua"/>
                <w:lang w:val="es-PR"/>
              </w:rPr>
            </w:pPr>
            <w:r>
              <w:rPr>
                <w:rFonts w:ascii="Book Antiqua" w:hAnsi="Book Antiqua"/>
                <w:lang w:val="es-PR"/>
              </w:rPr>
              <w:t>53%</w:t>
            </w:r>
          </w:p>
        </w:tc>
      </w:tr>
      <w:tr w:rsidR="00E15C7C" w14:paraId="545CEDE8" w14:textId="77777777" w:rsidTr="00E15C7C">
        <w:tc>
          <w:tcPr>
            <w:tcW w:w="2337" w:type="dxa"/>
          </w:tcPr>
          <w:p w14:paraId="5B841F9D" w14:textId="1797CE8F" w:rsidR="00E15C7C" w:rsidRDefault="00E15C7C" w:rsidP="00E15C7C">
            <w:pPr>
              <w:jc w:val="center"/>
              <w:rPr>
                <w:rFonts w:ascii="Book Antiqua" w:hAnsi="Book Antiqua"/>
                <w:lang w:val="es-PR"/>
              </w:rPr>
            </w:pPr>
            <w:r>
              <w:rPr>
                <w:rFonts w:ascii="Book Antiqua" w:hAnsi="Book Antiqua"/>
                <w:lang w:val="es-PR"/>
              </w:rPr>
              <w:t>2013</w:t>
            </w:r>
          </w:p>
        </w:tc>
        <w:tc>
          <w:tcPr>
            <w:tcW w:w="2337" w:type="dxa"/>
          </w:tcPr>
          <w:p w14:paraId="76BDA392" w14:textId="2FA29BC8" w:rsidR="00E15C7C" w:rsidRDefault="00016BE0" w:rsidP="00E15C7C">
            <w:pPr>
              <w:jc w:val="center"/>
              <w:rPr>
                <w:rFonts w:ascii="Book Antiqua" w:hAnsi="Book Antiqua"/>
                <w:lang w:val="es-PR"/>
              </w:rPr>
            </w:pPr>
            <w:r>
              <w:rPr>
                <w:rFonts w:ascii="Book Antiqua" w:hAnsi="Book Antiqua"/>
                <w:lang w:val="es-PR"/>
              </w:rPr>
              <w:t>344</w:t>
            </w:r>
          </w:p>
        </w:tc>
        <w:tc>
          <w:tcPr>
            <w:tcW w:w="2338" w:type="dxa"/>
          </w:tcPr>
          <w:p w14:paraId="64391A90" w14:textId="395FB3E6" w:rsidR="00E15C7C" w:rsidRDefault="00016BE0" w:rsidP="00E15C7C">
            <w:pPr>
              <w:jc w:val="center"/>
              <w:rPr>
                <w:rFonts w:ascii="Book Antiqua" w:hAnsi="Book Antiqua"/>
                <w:lang w:val="es-PR"/>
              </w:rPr>
            </w:pPr>
            <w:r>
              <w:rPr>
                <w:rFonts w:ascii="Book Antiqua" w:hAnsi="Book Antiqua"/>
                <w:lang w:val="es-PR"/>
              </w:rPr>
              <w:t>176</w:t>
            </w:r>
          </w:p>
        </w:tc>
        <w:tc>
          <w:tcPr>
            <w:tcW w:w="2338" w:type="dxa"/>
          </w:tcPr>
          <w:p w14:paraId="7DBCF055" w14:textId="6A130E91" w:rsidR="00E15C7C" w:rsidRDefault="00016BE0" w:rsidP="00E15C7C">
            <w:pPr>
              <w:jc w:val="center"/>
              <w:rPr>
                <w:rFonts w:ascii="Book Antiqua" w:hAnsi="Book Antiqua"/>
                <w:lang w:val="es-PR"/>
              </w:rPr>
            </w:pPr>
            <w:r>
              <w:rPr>
                <w:rFonts w:ascii="Book Antiqua" w:hAnsi="Book Antiqua"/>
                <w:lang w:val="es-PR"/>
              </w:rPr>
              <w:t>51%</w:t>
            </w:r>
          </w:p>
        </w:tc>
      </w:tr>
      <w:tr w:rsidR="00E15C7C" w14:paraId="586B6C27" w14:textId="77777777" w:rsidTr="00E15C7C">
        <w:tc>
          <w:tcPr>
            <w:tcW w:w="2337" w:type="dxa"/>
          </w:tcPr>
          <w:p w14:paraId="0C1FAF08" w14:textId="67F822D9" w:rsidR="00E15C7C" w:rsidRDefault="00E15C7C" w:rsidP="00E15C7C">
            <w:pPr>
              <w:jc w:val="center"/>
              <w:rPr>
                <w:rFonts w:ascii="Book Antiqua" w:hAnsi="Book Antiqua"/>
                <w:lang w:val="es-PR"/>
              </w:rPr>
            </w:pPr>
            <w:r>
              <w:rPr>
                <w:rFonts w:ascii="Book Antiqua" w:hAnsi="Book Antiqua"/>
                <w:lang w:val="es-PR"/>
              </w:rPr>
              <w:t>2014</w:t>
            </w:r>
          </w:p>
        </w:tc>
        <w:tc>
          <w:tcPr>
            <w:tcW w:w="2337" w:type="dxa"/>
          </w:tcPr>
          <w:p w14:paraId="368A7FE7" w14:textId="61C19494" w:rsidR="00E15C7C" w:rsidRDefault="00016BE0" w:rsidP="00E15C7C">
            <w:pPr>
              <w:jc w:val="center"/>
              <w:rPr>
                <w:rFonts w:ascii="Book Antiqua" w:hAnsi="Book Antiqua"/>
                <w:lang w:val="es-PR"/>
              </w:rPr>
            </w:pPr>
            <w:r>
              <w:rPr>
                <w:rFonts w:ascii="Book Antiqua" w:hAnsi="Book Antiqua"/>
                <w:lang w:val="es-PR"/>
              </w:rPr>
              <w:t>304</w:t>
            </w:r>
          </w:p>
        </w:tc>
        <w:tc>
          <w:tcPr>
            <w:tcW w:w="2338" w:type="dxa"/>
          </w:tcPr>
          <w:p w14:paraId="7A598B05" w14:textId="38CAE54A" w:rsidR="00E15C7C" w:rsidRDefault="00016BE0" w:rsidP="00E15C7C">
            <w:pPr>
              <w:jc w:val="center"/>
              <w:rPr>
                <w:rFonts w:ascii="Book Antiqua" w:hAnsi="Book Antiqua"/>
                <w:lang w:val="es-PR"/>
              </w:rPr>
            </w:pPr>
            <w:r>
              <w:rPr>
                <w:rFonts w:ascii="Book Antiqua" w:hAnsi="Book Antiqua"/>
                <w:lang w:val="es-PR"/>
              </w:rPr>
              <w:t>150</w:t>
            </w:r>
          </w:p>
        </w:tc>
        <w:tc>
          <w:tcPr>
            <w:tcW w:w="2338" w:type="dxa"/>
          </w:tcPr>
          <w:p w14:paraId="5837314E" w14:textId="65186698" w:rsidR="00E15C7C" w:rsidRDefault="00016BE0" w:rsidP="00E15C7C">
            <w:pPr>
              <w:jc w:val="center"/>
              <w:rPr>
                <w:rFonts w:ascii="Book Antiqua" w:hAnsi="Book Antiqua"/>
                <w:lang w:val="es-PR"/>
              </w:rPr>
            </w:pPr>
            <w:r>
              <w:rPr>
                <w:rFonts w:ascii="Book Antiqua" w:hAnsi="Book Antiqua"/>
                <w:lang w:val="es-PR"/>
              </w:rPr>
              <w:t>49%</w:t>
            </w:r>
          </w:p>
        </w:tc>
      </w:tr>
      <w:tr w:rsidR="00E15C7C" w14:paraId="6A2FE38A" w14:textId="77777777" w:rsidTr="00E15C7C">
        <w:tc>
          <w:tcPr>
            <w:tcW w:w="2337" w:type="dxa"/>
          </w:tcPr>
          <w:p w14:paraId="2C2106CF" w14:textId="510F8594" w:rsidR="00E15C7C" w:rsidRDefault="00E15C7C" w:rsidP="00E15C7C">
            <w:pPr>
              <w:jc w:val="center"/>
              <w:rPr>
                <w:rFonts w:ascii="Book Antiqua" w:hAnsi="Book Antiqua"/>
                <w:lang w:val="es-PR"/>
              </w:rPr>
            </w:pPr>
            <w:r>
              <w:rPr>
                <w:rFonts w:ascii="Book Antiqua" w:hAnsi="Book Antiqua"/>
                <w:lang w:val="es-PR"/>
              </w:rPr>
              <w:t>2015</w:t>
            </w:r>
          </w:p>
        </w:tc>
        <w:tc>
          <w:tcPr>
            <w:tcW w:w="2337" w:type="dxa"/>
          </w:tcPr>
          <w:p w14:paraId="0A0F0998" w14:textId="7283B209" w:rsidR="00E15C7C" w:rsidRDefault="00016BE0" w:rsidP="00E15C7C">
            <w:pPr>
              <w:jc w:val="center"/>
              <w:rPr>
                <w:rFonts w:ascii="Book Antiqua" w:hAnsi="Book Antiqua"/>
                <w:lang w:val="es-PR"/>
              </w:rPr>
            </w:pPr>
            <w:r>
              <w:rPr>
                <w:rFonts w:ascii="Book Antiqua" w:hAnsi="Book Antiqua"/>
                <w:lang w:val="es-PR"/>
              </w:rPr>
              <w:t>310</w:t>
            </w:r>
          </w:p>
        </w:tc>
        <w:tc>
          <w:tcPr>
            <w:tcW w:w="2338" w:type="dxa"/>
          </w:tcPr>
          <w:p w14:paraId="7DEFD040" w14:textId="64F0F324" w:rsidR="00E15C7C" w:rsidRDefault="00016BE0" w:rsidP="00E15C7C">
            <w:pPr>
              <w:jc w:val="center"/>
              <w:rPr>
                <w:rFonts w:ascii="Book Antiqua" w:hAnsi="Book Antiqua"/>
                <w:lang w:val="es-PR"/>
              </w:rPr>
            </w:pPr>
            <w:r>
              <w:rPr>
                <w:rFonts w:ascii="Book Antiqua" w:hAnsi="Book Antiqua"/>
                <w:lang w:val="es-PR"/>
              </w:rPr>
              <w:t>151</w:t>
            </w:r>
          </w:p>
        </w:tc>
        <w:tc>
          <w:tcPr>
            <w:tcW w:w="2338" w:type="dxa"/>
          </w:tcPr>
          <w:p w14:paraId="741524C1" w14:textId="3B8308FC" w:rsidR="00E15C7C" w:rsidRDefault="00016BE0" w:rsidP="00E15C7C">
            <w:pPr>
              <w:jc w:val="center"/>
              <w:rPr>
                <w:rFonts w:ascii="Book Antiqua" w:hAnsi="Book Antiqua"/>
                <w:lang w:val="es-PR"/>
              </w:rPr>
            </w:pPr>
            <w:r>
              <w:rPr>
                <w:rFonts w:ascii="Book Antiqua" w:hAnsi="Book Antiqua"/>
                <w:lang w:val="es-PR"/>
              </w:rPr>
              <w:t>49%</w:t>
            </w:r>
          </w:p>
        </w:tc>
      </w:tr>
      <w:tr w:rsidR="00E15C7C" w14:paraId="2152374A" w14:textId="77777777" w:rsidTr="00E15C7C">
        <w:tc>
          <w:tcPr>
            <w:tcW w:w="2337" w:type="dxa"/>
          </w:tcPr>
          <w:p w14:paraId="4A3926D5" w14:textId="4EDC66E7" w:rsidR="00E15C7C" w:rsidRDefault="00E15C7C" w:rsidP="00E15C7C">
            <w:pPr>
              <w:jc w:val="center"/>
              <w:rPr>
                <w:rFonts w:ascii="Book Antiqua" w:hAnsi="Book Antiqua"/>
                <w:lang w:val="es-PR"/>
              </w:rPr>
            </w:pPr>
            <w:r>
              <w:rPr>
                <w:rFonts w:ascii="Book Antiqua" w:hAnsi="Book Antiqua"/>
                <w:lang w:val="es-PR"/>
              </w:rPr>
              <w:lastRenderedPageBreak/>
              <w:t>2016</w:t>
            </w:r>
          </w:p>
        </w:tc>
        <w:tc>
          <w:tcPr>
            <w:tcW w:w="2337" w:type="dxa"/>
          </w:tcPr>
          <w:p w14:paraId="0D93A355" w14:textId="6592C2BF" w:rsidR="00E15C7C" w:rsidRDefault="00016BE0" w:rsidP="00E15C7C">
            <w:pPr>
              <w:jc w:val="center"/>
              <w:rPr>
                <w:rFonts w:ascii="Book Antiqua" w:hAnsi="Book Antiqua"/>
                <w:lang w:val="es-PR"/>
              </w:rPr>
            </w:pPr>
            <w:r>
              <w:rPr>
                <w:rFonts w:ascii="Book Antiqua" w:hAnsi="Book Antiqua"/>
                <w:lang w:val="es-PR"/>
              </w:rPr>
              <w:t>279</w:t>
            </w:r>
          </w:p>
        </w:tc>
        <w:tc>
          <w:tcPr>
            <w:tcW w:w="2338" w:type="dxa"/>
          </w:tcPr>
          <w:p w14:paraId="73EDA135" w14:textId="0A37B90F" w:rsidR="00E15C7C" w:rsidRDefault="00016BE0" w:rsidP="00E15C7C">
            <w:pPr>
              <w:jc w:val="center"/>
              <w:rPr>
                <w:rFonts w:ascii="Book Antiqua" w:hAnsi="Book Antiqua"/>
                <w:lang w:val="es-PR"/>
              </w:rPr>
            </w:pPr>
            <w:r>
              <w:rPr>
                <w:rFonts w:ascii="Book Antiqua" w:hAnsi="Book Antiqua"/>
                <w:lang w:val="es-PR"/>
              </w:rPr>
              <w:t>134</w:t>
            </w:r>
          </w:p>
        </w:tc>
        <w:tc>
          <w:tcPr>
            <w:tcW w:w="2338" w:type="dxa"/>
          </w:tcPr>
          <w:p w14:paraId="7E4E6A55" w14:textId="61CDF3EB" w:rsidR="00E15C7C" w:rsidRDefault="00016BE0" w:rsidP="00E15C7C">
            <w:pPr>
              <w:jc w:val="center"/>
              <w:rPr>
                <w:rFonts w:ascii="Book Antiqua" w:hAnsi="Book Antiqua"/>
                <w:lang w:val="es-PR"/>
              </w:rPr>
            </w:pPr>
            <w:r>
              <w:rPr>
                <w:rFonts w:ascii="Book Antiqua" w:hAnsi="Book Antiqua"/>
                <w:lang w:val="es-PR"/>
              </w:rPr>
              <w:t>48%</w:t>
            </w:r>
          </w:p>
        </w:tc>
      </w:tr>
      <w:tr w:rsidR="00E15C7C" w14:paraId="6F2F708B" w14:textId="77777777" w:rsidTr="00E15C7C">
        <w:tc>
          <w:tcPr>
            <w:tcW w:w="2337" w:type="dxa"/>
          </w:tcPr>
          <w:p w14:paraId="6A1FE7D3" w14:textId="057C1EFE" w:rsidR="00E15C7C" w:rsidRDefault="00E15C7C" w:rsidP="00E15C7C">
            <w:pPr>
              <w:jc w:val="center"/>
              <w:rPr>
                <w:rFonts w:ascii="Book Antiqua" w:hAnsi="Book Antiqua"/>
                <w:lang w:val="es-PR"/>
              </w:rPr>
            </w:pPr>
            <w:r>
              <w:rPr>
                <w:rFonts w:ascii="Book Antiqua" w:hAnsi="Book Antiqua"/>
                <w:lang w:val="es-PR"/>
              </w:rPr>
              <w:t>2017</w:t>
            </w:r>
          </w:p>
        </w:tc>
        <w:tc>
          <w:tcPr>
            <w:tcW w:w="2337" w:type="dxa"/>
          </w:tcPr>
          <w:p w14:paraId="650D709A" w14:textId="60AE8916" w:rsidR="00E15C7C" w:rsidRDefault="00016BE0" w:rsidP="00E15C7C">
            <w:pPr>
              <w:jc w:val="center"/>
              <w:rPr>
                <w:rFonts w:ascii="Book Antiqua" w:hAnsi="Book Antiqua"/>
                <w:lang w:val="es-PR"/>
              </w:rPr>
            </w:pPr>
            <w:r>
              <w:rPr>
                <w:rFonts w:ascii="Book Antiqua" w:hAnsi="Book Antiqua"/>
                <w:lang w:val="es-PR"/>
              </w:rPr>
              <w:t>290</w:t>
            </w:r>
          </w:p>
        </w:tc>
        <w:tc>
          <w:tcPr>
            <w:tcW w:w="2338" w:type="dxa"/>
          </w:tcPr>
          <w:p w14:paraId="4FA5B3D0" w14:textId="2F1A3D0E" w:rsidR="00E15C7C" w:rsidRDefault="00016BE0" w:rsidP="00E15C7C">
            <w:pPr>
              <w:jc w:val="center"/>
              <w:rPr>
                <w:rFonts w:ascii="Book Antiqua" w:hAnsi="Book Antiqua"/>
                <w:lang w:val="es-PR"/>
              </w:rPr>
            </w:pPr>
            <w:r>
              <w:rPr>
                <w:rFonts w:ascii="Book Antiqua" w:hAnsi="Book Antiqua"/>
                <w:lang w:val="es-PR"/>
              </w:rPr>
              <w:t>123</w:t>
            </w:r>
          </w:p>
        </w:tc>
        <w:tc>
          <w:tcPr>
            <w:tcW w:w="2338" w:type="dxa"/>
          </w:tcPr>
          <w:p w14:paraId="22F013AC" w14:textId="04F8D398" w:rsidR="00E15C7C" w:rsidRDefault="00016BE0" w:rsidP="00E15C7C">
            <w:pPr>
              <w:jc w:val="center"/>
              <w:rPr>
                <w:rFonts w:ascii="Book Antiqua" w:hAnsi="Book Antiqua"/>
                <w:lang w:val="es-PR"/>
              </w:rPr>
            </w:pPr>
            <w:r>
              <w:rPr>
                <w:rFonts w:ascii="Book Antiqua" w:hAnsi="Book Antiqua"/>
                <w:lang w:val="es-PR"/>
              </w:rPr>
              <w:t>42%</w:t>
            </w:r>
          </w:p>
        </w:tc>
      </w:tr>
      <w:tr w:rsidR="00E15C7C" w14:paraId="4E505DB1" w14:textId="77777777" w:rsidTr="00E15C7C">
        <w:tc>
          <w:tcPr>
            <w:tcW w:w="2337" w:type="dxa"/>
          </w:tcPr>
          <w:p w14:paraId="09FD7425" w14:textId="7B8E4B89" w:rsidR="00E15C7C" w:rsidRDefault="00E15C7C" w:rsidP="00E15C7C">
            <w:pPr>
              <w:jc w:val="center"/>
              <w:rPr>
                <w:rFonts w:ascii="Book Antiqua" w:hAnsi="Book Antiqua"/>
                <w:lang w:val="es-PR"/>
              </w:rPr>
            </w:pPr>
            <w:r>
              <w:rPr>
                <w:rFonts w:ascii="Book Antiqua" w:hAnsi="Book Antiqua"/>
                <w:lang w:val="es-PR"/>
              </w:rPr>
              <w:t>2018</w:t>
            </w:r>
          </w:p>
        </w:tc>
        <w:tc>
          <w:tcPr>
            <w:tcW w:w="2337" w:type="dxa"/>
          </w:tcPr>
          <w:p w14:paraId="5B5D556E" w14:textId="4390DE11" w:rsidR="00E15C7C" w:rsidRDefault="00016BE0" w:rsidP="00E15C7C">
            <w:pPr>
              <w:jc w:val="center"/>
              <w:rPr>
                <w:rFonts w:ascii="Book Antiqua" w:hAnsi="Book Antiqua"/>
                <w:lang w:val="es-PR"/>
              </w:rPr>
            </w:pPr>
            <w:r>
              <w:rPr>
                <w:rFonts w:ascii="Book Antiqua" w:hAnsi="Book Antiqua"/>
                <w:lang w:val="es-PR"/>
              </w:rPr>
              <w:t>308</w:t>
            </w:r>
          </w:p>
        </w:tc>
        <w:tc>
          <w:tcPr>
            <w:tcW w:w="2338" w:type="dxa"/>
          </w:tcPr>
          <w:p w14:paraId="26A33A53" w14:textId="178A099D" w:rsidR="00E15C7C" w:rsidRDefault="00016BE0" w:rsidP="00E15C7C">
            <w:pPr>
              <w:jc w:val="center"/>
              <w:rPr>
                <w:rFonts w:ascii="Book Antiqua" w:hAnsi="Book Antiqua"/>
                <w:lang w:val="es-PR"/>
              </w:rPr>
            </w:pPr>
            <w:r>
              <w:rPr>
                <w:rFonts w:ascii="Book Antiqua" w:hAnsi="Book Antiqua"/>
                <w:lang w:val="es-PR"/>
              </w:rPr>
              <w:t>163</w:t>
            </w:r>
          </w:p>
        </w:tc>
        <w:tc>
          <w:tcPr>
            <w:tcW w:w="2338" w:type="dxa"/>
          </w:tcPr>
          <w:p w14:paraId="5F014211" w14:textId="708FC4A6" w:rsidR="00E15C7C" w:rsidRDefault="00016BE0" w:rsidP="00E15C7C">
            <w:pPr>
              <w:jc w:val="center"/>
              <w:rPr>
                <w:rFonts w:ascii="Book Antiqua" w:hAnsi="Book Antiqua"/>
                <w:lang w:val="es-PR"/>
              </w:rPr>
            </w:pPr>
            <w:r>
              <w:rPr>
                <w:rFonts w:ascii="Book Antiqua" w:hAnsi="Book Antiqua"/>
                <w:lang w:val="es-PR"/>
              </w:rPr>
              <w:t>53%</w:t>
            </w:r>
          </w:p>
        </w:tc>
      </w:tr>
      <w:tr w:rsidR="00E15C7C" w14:paraId="49919BA6" w14:textId="77777777" w:rsidTr="00E15C7C">
        <w:tc>
          <w:tcPr>
            <w:tcW w:w="2337" w:type="dxa"/>
          </w:tcPr>
          <w:p w14:paraId="772AFEED" w14:textId="4010C56A" w:rsidR="00E15C7C" w:rsidRDefault="00016BE0" w:rsidP="00E15C7C">
            <w:pPr>
              <w:jc w:val="center"/>
              <w:rPr>
                <w:rFonts w:ascii="Book Antiqua" w:hAnsi="Book Antiqua"/>
                <w:lang w:val="es-PR"/>
              </w:rPr>
            </w:pPr>
            <w:r>
              <w:rPr>
                <w:rFonts w:ascii="Book Antiqua" w:hAnsi="Book Antiqua"/>
                <w:lang w:val="es-PR"/>
              </w:rPr>
              <w:t>2019</w:t>
            </w:r>
          </w:p>
        </w:tc>
        <w:tc>
          <w:tcPr>
            <w:tcW w:w="2337" w:type="dxa"/>
          </w:tcPr>
          <w:p w14:paraId="4782B0AD" w14:textId="07BC525E" w:rsidR="00E15C7C" w:rsidRDefault="00016BE0" w:rsidP="00E15C7C">
            <w:pPr>
              <w:jc w:val="center"/>
              <w:rPr>
                <w:rFonts w:ascii="Book Antiqua" w:hAnsi="Book Antiqua"/>
                <w:lang w:val="es-PR"/>
              </w:rPr>
            </w:pPr>
            <w:r>
              <w:rPr>
                <w:rFonts w:ascii="Book Antiqua" w:hAnsi="Book Antiqua"/>
                <w:lang w:val="es-PR"/>
              </w:rPr>
              <w:t>289</w:t>
            </w:r>
          </w:p>
        </w:tc>
        <w:tc>
          <w:tcPr>
            <w:tcW w:w="2338" w:type="dxa"/>
          </w:tcPr>
          <w:p w14:paraId="7BC0A9F2" w14:textId="1AC7F048" w:rsidR="00E15C7C" w:rsidRDefault="00016BE0" w:rsidP="00E15C7C">
            <w:pPr>
              <w:jc w:val="center"/>
              <w:rPr>
                <w:rFonts w:ascii="Book Antiqua" w:hAnsi="Book Antiqua"/>
                <w:lang w:val="es-PR"/>
              </w:rPr>
            </w:pPr>
            <w:r>
              <w:rPr>
                <w:rFonts w:ascii="Book Antiqua" w:hAnsi="Book Antiqua"/>
                <w:lang w:val="es-PR"/>
              </w:rPr>
              <w:t>113</w:t>
            </w:r>
          </w:p>
        </w:tc>
        <w:tc>
          <w:tcPr>
            <w:tcW w:w="2338" w:type="dxa"/>
          </w:tcPr>
          <w:p w14:paraId="2944A599" w14:textId="2139EBEF" w:rsidR="00E15C7C" w:rsidRDefault="00016BE0" w:rsidP="00E15C7C">
            <w:pPr>
              <w:jc w:val="center"/>
              <w:rPr>
                <w:rFonts w:ascii="Book Antiqua" w:hAnsi="Book Antiqua"/>
                <w:lang w:val="es-PR"/>
              </w:rPr>
            </w:pPr>
            <w:r>
              <w:rPr>
                <w:rFonts w:ascii="Book Antiqua" w:hAnsi="Book Antiqua"/>
                <w:lang w:val="es-PR"/>
              </w:rPr>
              <w:t>39%</w:t>
            </w:r>
          </w:p>
        </w:tc>
      </w:tr>
      <w:tr w:rsidR="00016BE0" w14:paraId="27FEF59C" w14:textId="77777777" w:rsidTr="00E15C7C">
        <w:tc>
          <w:tcPr>
            <w:tcW w:w="2337" w:type="dxa"/>
          </w:tcPr>
          <w:p w14:paraId="43083D43" w14:textId="3DBCDC2F" w:rsidR="00016BE0" w:rsidRDefault="00016BE0" w:rsidP="00E15C7C">
            <w:pPr>
              <w:jc w:val="center"/>
              <w:rPr>
                <w:rFonts w:ascii="Book Antiqua" w:hAnsi="Book Antiqua"/>
                <w:lang w:val="es-PR"/>
              </w:rPr>
            </w:pPr>
            <w:r>
              <w:rPr>
                <w:rFonts w:ascii="Book Antiqua" w:hAnsi="Book Antiqua"/>
                <w:lang w:val="es-PR"/>
              </w:rPr>
              <w:t>2020</w:t>
            </w:r>
          </w:p>
        </w:tc>
        <w:tc>
          <w:tcPr>
            <w:tcW w:w="2337" w:type="dxa"/>
          </w:tcPr>
          <w:p w14:paraId="2E23102D" w14:textId="43C6F496" w:rsidR="00016BE0" w:rsidRDefault="00016BE0" w:rsidP="00E15C7C">
            <w:pPr>
              <w:jc w:val="center"/>
              <w:rPr>
                <w:rFonts w:ascii="Book Antiqua" w:hAnsi="Book Antiqua"/>
                <w:lang w:val="es-PR"/>
              </w:rPr>
            </w:pPr>
            <w:r>
              <w:rPr>
                <w:rFonts w:ascii="Book Antiqua" w:hAnsi="Book Antiqua"/>
                <w:lang w:val="es-PR"/>
              </w:rPr>
              <w:t>242</w:t>
            </w:r>
          </w:p>
        </w:tc>
        <w:tc>
          <w:tcPr>
            <w:tcW w:w="2338" w:type="dxa"/>
          </w:tcPr>
          <w:p w14:paraId="12306A36" w14:textId="57C12914" w:rsidR="00016BE0" w:rsidRDefault="00016BE0" w:rsidP="00E15C7C">
            <w:pPr>
              <w:jc w:val="center"/>
              <w:rPr>
                <w:rFonts w:ascii="Book Antiqua" w:hAnsi="Book Antiqua"/>
                <w:lang w:val="es-PR"/>
              </w:rPr>
            </w:pPr>
            <w:r>
              <w:rPr>
                <w:rFonts w:ascii="Book Antiqua" w:hAnsi="Book Antiqua"/>
                <w:lang w:val="es-PR"/>
              </w:rPr>
              <w:t>90</w:t>
            </w:r>
          </w:p>
        </w:tc>
        <w:tc>
          <w:tcPr>
            <w:tcW w:w="2338" w:type="dxa"/>
          </w:tcPr>
          <w:p w14:paraId="6667679E" w14:textId="74D99F91" w:rsidR="00016BE0" w:rsidRDefault="00016BE0" w:rsidP="00E15C7C">
            <w:pPr>
              <w:jc w:val="center"/>
              <w:rPr>
                <w:rFonts w:ascii="Book Antiqua" w:hAnsi="Book Antiqua"/>
                <w:lang w:val="es-PR"/>
              </w:rPr>
            </w:pPr>
            <w:r>
              <w:rPr>
                <w:rFonts w:ascii="Book Antiqua" w:hAnsi="Book Antiqua"/>
                <w:lang w:val="es-PR"/>
              </w:rPr>
              <w:t>37%</w:t>
            </w:r>
          </w:p>
        </w:tc>
      </w:tr>
      <w:tr w:rsidR="00016BE0" w14:paraId="27CE51C9" w14:textId="77777777" w:rsidTr="00016BE0">
        <w:tc>
          <w:tcPr>
            <w:tcW w:w="2337" w:type="dxa"/>
          </w:tcPr>
          <w:p w14:paraId="33DA0EDE" w14:textId="79C8D9A0" w:rsidR="00016BE0" w:rsidRDefault="00016BE0" w:rsidP="00FF0AB7">
            <w:pPr>
              <w:jc w:val="center"/>
              <w:rPr>
                <w:rFonts w:ascii="Book Antiqua" w:hAnsi="Book Antiqua"/>
                <w:lang w:val="es-PR"/>
              </w:rPr>
            </w:pPr>
            <w:r>
              <w:rPr>
                <w:rFonts w:ascii="Book Antiqua" w:hAnsi="Book Antiqua"/>
                <w:lang w:val="es-PR"/>
              </w:rPr>
              <w:t>2021</w:t>
            </w:r>
          </w:p>
        </w:tc>
        <w:tc>
          <w:tcPr>
            <w:tcW w:w="2337" w:type="dxa"/>
          </w:tcPr>
          <w:p w14:paraId="4F792B7F" w14:textId="7138FF12" w:rsidR="00016BE0" w:rsidRDefault="00016BE0" w:rsidP="00FF0AB7">
            <w:pPr>
              <w:jc w:val="center"/>
              <w:rPr>
                <w:rFonts w:ascii="Book Antiqua" w:hAnsi="Book Antiqua"/>
                <w:lang w:val="es-PR"/>
              </w:rPr>
            </w:pPr>
            <w:r>
              <w:rPr>
                <w:rFonts w:ascii="Book Antiqua" w:hAnsi="Book Antiqua"/>
                <w:lang w:val="es-PR"/>
              </w:rPr>
              <w:t>337</w:t>
            </w:r>
          </w:p>
        </w:tc>
        <w:tc>
          <w:tcPr>
            <w:tcW w:w="2338" w:type="dxa"/>
          </w:tcPr>
          <w:p w14:paraId="76868099" w14:textId="3214F0B2" w:rsidR="00016BE0" w:rsidRDefault="00016BE0" w:rsidP="00FF0AB7">
            <w:pPr>
              <w:jc w:val="center"/>
              <w:rPr>
                <w:rFonts w:ascii="Book Antiqua" w:hAnsi="Book Antiqua"/>
                <w:lang w:val="es-PR"/>
              </w:rPr>
            </w:pPr>
            <w:r>
              <w:rPr>
                <w:rFonts w:ascii="Book Antiqua" w:hAnsi="Book Antiqua"/>
                <w:lang w:val="es-PR"/>
              </w:rPr>
              <w:t>134</w:t>
            </w:r>
          </w:p>
        </w:tc>
        <w:tc>
          <w:tcPr>
            <w:tcW w:w="2338" w:type="dxa"/>
          </w:tcPr>
          <w:p w14:paraId="21006924" w14:textId="51B964E2" w:rsidR="00016BE0" w:rsidRDefault="00016BE0" w:rsidP="00FF0AB7">
            <w:pPr>
              <w:jc w:val="center"/>
              <w:rPr>
                <w:rFonts w:ascii="Book Antiqua" w:hAnsi="Book Antiqua"/>
                <w:lang w:val="es-PR"/>
              </w:rPr>
            </w:pPr>
            <w:r>
              <w:rPr>
                <w:rFonts w:ascii="Book Antiqua" w:hAnsi="Book Antiqua"/>
                <w:lang w:val="es-PR"/>
              </w:rPr>
              <w:t>40%</w:t>
            </w:r>
          </w:p>
        </w:tc>
      </w:tr>
      <w:tr w:rsidR="00016BE0" w14:paraId="6CDDCA34" w14:textId="77777777" w:rsidTr="00016BE0">
        <w:tc>
          <w:tcPr>
            <w:tcW w:w="2337" w:type="dxa"/>
          </w:tcPr>
          <w:p w14:paraId="31245F57" w14:textId="4BB0A611" w:rsidR="00016BE0" w:rsidRDefault="00016BE0" w:rsidP="00FF0AB7">
            <w:pPr>
              <w:jc w:val="center"/>
              <w:rPr>
                <w:rFonts w:ascii="Book Antiqua" w:hAnsi="Book Antiqua"/>
                <w:lang w:val="es-PR"/>
              </w:rPr>
            </w:pPr>
            <w:r>
              <w:rPr>
                <w:rFonts w:ascii="Book Antiqua" w:hAnsi="Book Antiqua"/>
                <w:lang w:val="es-PR"/>
              </w:rPr>
              <w:t>2022</w:t>
            </w:r>
          </w:p>
        </w:tc>
        <w:tc>
          <w:tcPr>
            <w:tcW w:w="2337" w:type="dxa"/>
          </w:tcPr>
          <w:p w14:paraId="5B6A65D8" w14:textId="6FE4F285" w:rsidR="00016BE0" w:rsidRDefault="00016BE0" w:rsidP="00FF0AB7">
            <w:pPr>
              <w:jc w:val="center"/>
              <w:rPr>
                <w:rFonts w:ascii="Book Antiqua" w:hAnsi="Book Antiqua"/>
                <w:lang w:val="es-PR"/>
              </w:rPr>
            </w:pPr>
            <w:r>
              <w:rPr>
                <w:rFonts w:ascii="Book Antiqua" w:hAnsi="Book Antiqua"/>
                <w:lang w:val="es-PR"/>
              </w:rPr>
              <w:t>271</w:t>
            </w:r>
          </w:p>
        </w:tc>
        <w:tc>
          <w:tcPr>
            <w:tcW w:w="2338" w:type="dxa"/>
          </w:tcPr>
          <w:p w14:paraId="1BD1F61F" w14:textId="0A3C3338" w:rsidR="00016BE0" w:rsidRDefault="00016BE0" w:rsidP="00FF0AB7">
            <w:pPr>
              <w:jc w:val="center"/>
              <w:rPr>
                <w:rFonts w:ascii="Book Antiqua" w:hAnsi="Book Antiqua"/>
                <w:lang w:val="es-PR"/>
              </w:rPr>
            </w:pPr>
            <w:r>
              <w:rPr>
                <w:rFonts w:ascii="Book Antiqua" w:hAnsi="Book Antiqua"/>
                <w:lang w:val="es-PR"/>
              </w:rPr>
              <w:t>128</w:t>
            </w:r>
          </w:p>
        </w:tc>
        <w:tc>
          <w:tcPr>
            <w:tcW w:w="2338" w:type="dxa"/>
          </w:tcPr>
          <w:p w14:paraId="60DBD741" w14:textId="3B713E0D" w:rsidR="00016BE0" w:rsidRDefault="00016BE0" w:rsidP="00FF0AB7">
            <w:pPr>
              <w:jc w:val="center"/>
              <w:rPr>
                <w:rFonts w:ascii="Book Antiqua" w:hAnsi="Book Antiqua"/>
                <w:lang w:val="es-PR"/>
              </w:rPr>
            </w:pPr>
            <w:r>
              <w:rPr>
                <w:rFonts w:ascii="Book Antiqua" w:hAnsi="Book Antiqua"/>
                <w:lang w:val="es-PR"/>
              </w:rPr>
              <w:t>47%</w:t>
            </w:r>
          </w:p>
        </w:tc>
      </w:tr>
      <w:tr w:rsidR="00016BE0" w14:paraId="4D4EF7DC" w14:textId="77777777" w:rsidTr="00016BE0">
        <w:tc>
          <w:tcPr>
            <w:tcW w:w="2337" w:type="dxa"/>
          </w:tcPr>
          <w:p w14:paraId="211D5EA2" w14:textId="66611EB9" w:rsidR="00016BE0" w:rsidRPr="00016BE0" w:rsidRDefault="00016BE0" w:rsidP="00FF0AB7">
            <w:pPr>
              <w:jc w:val="center"/>
              <w:rPr>
                <w:rFonts w:ascii="Book Antiqua" w:hAnsi="Book Antiqua"/>
                <w:b/>
                <w:bCs/>
                <w:i/>
                <w:iCs/>
                <w:lang w:val="es-PR"/>
              </w:rPr>
            </w:pPr>
            <w:r w:rsidRPr="00016BE0">
              <w:rPr>
                <w:rFonts w:ascii="Book Antiqua" w:hAnsi="Book Antiqua"/>
                <w:b/>
                <w:bCs/>
                <w:i/>
                <w:iCs/>
                <w:lang w:val="es-PR"/>
              </w:rPr>
              <w:t>Total</w:t>
            </w:r>
          </w:p>
        </w:tc>
        <w:tc>
          <w:tcPr>
            <w:tcW w:w="2337" w:type="dxa"/>
          </w:tcPr>
          <w:p w14:paraId="7EC4244C" w14:textId="15239602" w:rsidR="00016BE0" w:rsidRPr="00016BE0" w:rsidRDefault="00016BE0" w:rsidP="00FF0AB7">
            <w:pPr>
              <w:jc w:val="center"/>
              <w:rPr>
                <w:rFonts w:ascii="Book Antiqua" w:hAnsi="Book Antiqua"/>
                <w:b/>
                <w:bCs/>
                <w:i/>
                <w:iCs/>
                <w:lang w:val="es-PR"/>
              </w:rPr>
            </w:pPr>
            <w:r w:rsidRPr="00016BE0">
              <w:rPr>
                <w:rFonts w:ascii="Book Antiqua" w:hAnsi="Book Antiqua"/>
                <w:b/>
                <w:bCs/>
                <w:i/>
                <w:iCs/>
                <w:lang w:val="es-PR"/>
              </w:rPr>
              <w:t>3,340</w:t>
            </w:r>
          </w:p>
        </w:tc>
        <w:tc>
          <w:tcPr>
            <w:tcW w:w="2338" w:type="dxa"/>
          </w:tcPr>
          <w:p w14:paraId="45B16155" w14:textId="0BEDC904" w:rsidR="00016BE0" w:rsidRPr="00016BE0" w:rsidRDefault="00016BE0" w:rsidP="00FF0AB7">
            <w:pPr>
              <w:jc w:val="center"/>
              <w:rPr>
                <w:rFonts w:ascii="Book Antiqua" w:hAnsi="Book Antiqua"/>
                <w:b/>
                <w:bCs/>
                <w:i/>
                <w:iCs/>
                <w:lang w:val="es-PR"/>
              </w:rPr>
            </w:pPr>
            <w:r w:rsidRPr="00016BE0">
              <w:rPr>
                <w:rFonts w:ascii="Book Antiqua" w:hAnsi="Book Antiqua"/>
                <w:b/>
                <w:bCs/>
                <w:i/>
                <w:iCs/>
                <w:lang w:val="es-PR"/>
              </w:rPr>
              <w:t>1,556</w:t>
            </w:r>
          </w:p>
        </w:tc>
        <w:tc>
          <w:tcPr>
            <w:tcW w:w="2338" w:type="dxa"/>
          </w:tcPr>
          <w:p w14:paraId="40EFDF1B" w14:textId="77777777" w:rsidR="00016BE0" w:rsidRDefault="00016BE0" w:rsidP="00FF0AB7">
            <w:pPr>
              <w:jc w:val="center"/>
              <w:rPr>
                <w:rFonts w:ascii="Book Antiqua" w:hAnsi="Book Antiqua"/>
                <w:lang w:val="es-PR"/>
              </w:rPr>
            </w:pPr>
          </w:p>
        </w:tc>
      </w:tr>
      <w:tr w:rsidR="00016BE0" w14:paraId="28B5A264" w14:textId="77777777" w:rsidTr="00016BE0">
        <w:tc>
          <w:tcPr>
            <w:tcW w:w="2337" w:type="dxa"/>
          </w:tcPr>
          <w:p w14:paraId="122E4CB2" w14:textId="41C19780" w:rsidR="00016BE0" w:rsidRPr="00016BE0" w:rsidRDefault="00016BE0" w:rsidP="00FF0AB7">
            <w:pPr>
              <w:jc w:val="center"/>
              <w:rPr>
                <w:rFonts w:ascii="Book Antiqua" w:hAnsi="Book Antiqua"/>
                <w:b/>
                <w:bCs/>
                <w:i/>
                <w:iCs/>
                <w:lang w:val="es-PR"/>
              </w:rPr>
            </w:pPr>
            <w:r w:rsidRPr="00016BE0">
              <w:rPr>
                <w:rFonts w:ascii="Book Antiqua" w:hAnsi="Book Antiqua"/>
                <w:b/>
                <w:bCs/>
                <w:i/>
                <w:iCs/>
                <w:lang w:val="es-PR"/>
              </w:rPr>
              <w:t>Promedio</w:t>
            </w:r>
          </w:p>
        </w:tc>
        <w:tc>
          <w:tcPr>
            <w:tcW w:w="2337" w:type="dxa"/>
          </w:tcPr>
          <w:p w14:paraId="1540FFD0" w14:textId="673D44E5" w:rsidR="00016BE0" w:rsidRPr="00016BE0" w:rsidRDefault="00016BE0" w:rsidP="00FF0AB7">
            <w:pPr>
              <w:jc w:val="center"/>
              <w:rPr>
                <w:rFonts w:ascii="Book Antiqua" w:hAnsi="Book Antiqua"/>
                <w:b/>
                <w:bCs/>
                <w:i/>
                <w:iCs/>
                <w:lang w:val="es-PR"/>
              </w:rPr>
            </w:pPr>
            <w:r w:rsidRPr="00016BE0">
              <w:rPr>
                <w:rFonts w:ascii="Book Antiqua" w:hAnsi="Book Antiqua"/>
                <w:b/>
                <w:bCs/>
                <w:i/>
                <w:iCs/>
                <w:lang w:val="es-PR"/>
              </w:rPr>
              <w:t>304</w:t>
            </w:r>
          </w:p>
        </w:tc>
        <w:tc>
          <w:tcPr>
            <w:tcW w:w="2338" w:type="dxa"/>
          </w:tcPr>
          <w:p w14:paraId="79A29C69" w14:textId="096D6399" w:rsidR="00016BE0" w:rsidRPr="00016BE0" w:rsidRDefault="00016BE0" w:rsidP="00FF0AB7">
            <w:pPr>
              <w:jc w:val="center"/>
              <w:rPr>
                <w:rFonts w:ascii="Book Antiqua" w:hAnsi="Book Antiqua"/>
                <w:b/>
                <w:bCs/>
                <w:i/>
                <w:iCs/>
                <w:lang w:val="es-PR"/>
              </w:rPr>
            </w:pPr>
            <w:r w:rsidRPr="00016BE0">
              <w:rPr>
                <w:rFonts w:ascii="Book Antiqua" w:hAnsi="Book Antiqua"/>
                <w:b/>
                <w:bCs/>
                <w:i/>
                <w:iCs/>
                <w:lang w:val="es-PR"/>
              </w:rPr>
              <w:t>141</w:t>
            </w:r>
          </w:p>
        </w:tc>
        <w:tc>
          <w:tcPr>
            <w:tcW w:w="2338" w:type="dxa"/>
          </w:tcPr>
          <w:p w14:paraId="6E575DC8" w14:textId="1EB61A16" w:rsidR="00016BE0" w:rsidRPr="00016BE0" w:rsidRDefault="00016BE0" w:rsidP="00FF0AB7">
            <w:pPr>
              <w:jc w:val="center"/>
              <w:rPr>
                <w:rFonts w:ascii="Book Antiqua" w:hAnsi="Book Antiqua"/>
                <w:b/>
                <w:bCs/>
                <w:i/>
                <w:iCs/>
                <w:lang w:val="es-PR"/>
              </w:rPr>
            </w:pPr>
            <w:r w:rsidRPr="00016BE0">
              <w:rPr>
                <w:rFonts w:ascii="Book Antiqua" w:hAnsi="Book Antiqua"/>
                <w:b/>
                <w:bCs/>
                <w:i/>
                <w:iCs/>
                <w:lang w:val="es-PR"/>
              </w:rPr>
              <w:t>47%</w:t>
            </w:r>
          </w:p>
        </w:tc>
      </w:tr>
    </w:tbl>
    <w:p w14:paraId="04863F87" w14:textId="5C762528" w:rsidR="00E15C7C" w:rsidRPr="00016BE0" w:rsidRDefault="00016BE0" w:rsidP="00016BE0">
      <w:pPr>
        <w:jc w:val="right"/>
        <w:rPr>
          <w:rFonts w:ascii="Book Antiqua" w:hAnsi="Book Antiqua"/>
          <w:i/>
          <w:iCs/>
          <w:lang w:val="es-PR"/>
        </w:rPr>
      </w:pPr>
      <w:r>
        <w:rPr>
          <w:rFonts w:ascii="Book Antiqua" w:hAnsi="Book Antiqua"/>
          <w:i/>
          <w:iCs/>
          <w:lang w:val="es-PR"/>
        </w:rPr>
        <w:t>Fuente: Comisión para la Seguridad en el Tránsito</w:t>
      </w:r>
    </w:p>
    <w:p w14:paraId="6D3FED27" w14:textId="77777777" w:rsidR="00342ECE" w:rsidRDefault="00342ECE" w:rsidP="00342ECE">
      <w:pPr>
        <w:jc w:val="both"/>
        <w:rPr>
          <w:rFonts w:ascii="Book Antiqua" w:hAnsi="Book Antiqua"/>
          <w:lang w:val="es-PR"/>
        </w:rPr>
      </w:pPr>
    </w:p>
    <w:p w14:paraId="48232AFC" w14:textId="262C3F78" w:rsidR="00016BE0" w:rsidRPr="00533A7B" w:rsidRDefault="00016BE0" w:rsidP="00342ECE">
      <w:pPr>
        <w:jc w:val="both"/>
        <w:rPr>
          <w:rFonts w:ascii="Book Antiqua" w:hAnsi="Book Antiqua"/>
          <w:lang w:val="es-PR"/>
        </w:rPr>
      </w:pPr>
      <w:r>
        <w:rPr>
          <w:rFonts w:ascii="Book Antiqua" w:hAnsi="Book Antiqua"/>
          <w:lang w:val="es-PR"/>
        </w:rPr>
        <w:tab/>
      </w:r>
      <w:r w:rsidR="00533A7B">
        <w:rPr>
          <w:rFonts w:ascii="Book Antiqua" w:hAnsi="Book Antiqua"/>
          <w:lang w:val="es-PR"/>
        </w:rPr>
        <w:t>Finalmente, la CST señaló que esta pieza legislativa es análoga a sus esfuerzos, por lo que entienden necesario revisitar y atender las dispo</w:t>
      </w:r>
      <w:r w:rsidR="00B26F88">
        <w:rPr>
          <w:rFonts w:ascii="Book Antiqua" w:hAnsi="Book Antiqua"/>
          <w:lang w:val="es-PR"/>
        </w:rPr>
        <w:t>sicio</w:t>
      </w:r>
      <w:r w:rsidR="00533A7B">
        <w:rPr>
          <w:rFonts w:ascii="Book Antiqua" w:hAnsi="Book Antiqua"/>
          <w:lang w:val="es-PR"/>
        </w:rPr>
        <w:t>nes legales que rigen los accidentes</w:t>
      </w:r>
      <w:r w:rsidR="00B26F88">
        <w:rPr>
          <w:rFonts w:ascii="Book Antiqua" w:hAnsi="Book Antiqua"/>
          <w:lang w:val="es-PR"/>
        </w:rPr>
        <w:t xml:space="preserve"> tipo</w:t>
      </w:r>
      <w:r w:rsidR="00533A7B">
        <w:rPr>
          <w:rFonts w:ascii="Book Antiqua" w:hAnsi="Book Antiqua"/>
          <w:lang w:val="es-PR"/>
        </w:rPr>
        <w:t xml:space="preserve"> </w:t>
      </w:r>
      <w:r w:rsidR="00533A7B">
        <w:rPr>
          <w:rFonts w:ascii="Book Antiqua" w:hAnsi="Book Antiqua"/>
          <w:i/>
          <w:iCs/>
          <w:lang w:val="es-PR"/>
        </w:rPr>
        <w:t xml:space="preserve">hit and run </w:t>
      </w:r>
      <w:r w:rsidR="00533A7B">
        <w:rPr>
          <w:rFonts w:ascii="Book Antiqua" w:hAnsi="Book Antiqua"/>
          <w:lang w:val="es-PR"/>
        </w:rPr>
        <w:t xml:space="preserve">para que, mediante la imposición de penas más severas, aquellas personas que estén involucradas en un accidente de tránsito no abandonen la escena. </w:t>
      </w:r>
    </w:p>
    <w:p w14:paraId="4BFC3FB4" w14:textId="77777777" w:rsidR="00016BE0" w:rsidRDefault="00016BE0" w:rsidP="00342ECE">
      <w:pPr>
        <w:jc w:val="both"/>
        <w:rPr>
          <w:rFonts w:ascii="Book Antiqua" w:hAnsi="Book Antiqua"/>
          <w:lang w:val="es-PR"/>
        </w:rPr>
      </w:pPr>
    </w:p>
    <w:p w14:paraId="360611DD" w14:textId="2A6D4DC1" w:rsidR="00533A7B" w:rsidRPr="000648AB" w:rsidRDefault="007C4605" w:rsidP="00533A7B">
      <w:pPr>
        <w:jc w:val="center"/>
        <w:rPr>
          <w:rFonts w:ascii="Book Antiqua" w:hAnsi="Book Antiqua"/>
          <w:b/>
          <w:bCs/>
          <w:u w:val="single"/>
          <w:lang w:val="es-PR"/>
        </w:rPr>
      </w:pPr>
      <w:r w:rsidRPr="007C4605">
        <w:rPr>
          <w:rFonts w:ascii="Book Antiqua" w:hAnsi="Book Antiqua"/>
          <w:b/>
          <w:bCs/>
          <w:u w:val="single"/>
          <w:lang w:val="es-ES_tradnl"/>
        </w:rPr>
        <w:t xml:space="preserve">Sociedad para Asistencia Legal de Puerto Rico </w:t>
      </w:r>
      <w:r w:rsidR="00533A7B" w:rsidRPr="000648AB">
        <w:rPr>
          <w:rFonts w:ascii="Book Antiqua" w:hAnsi="Book Antiqua"/>
          <w:b/>
          <w:bCs/>
          <w:u w:val="single"/>
          <w:lang w:val="es-PR"/>
        </w:rPr>
        <w:t>(SAL)</w:t>
      </w:r>
    </w:p>
    <w:p w14:paraId="014AD319" w14:textId="77777777" w:rsidR="00533A7B" w:rsidRDefault="00533A7B" w:rsidP="00533A7B">
      <w:pPr>
        <w:jc w:val="center"/>
        <w:rPr>
          <w:rFonts w:ascii="Book Antiqua" w:hAnsi="Book Antiqua"/>
          <w:b/>
          <w:bCs/>
          <w:lang w:val="es-PR"/>
        </w:rPr>
      </w:pPr>
    </w:p>
    <w:p w14:paraId="11D01AA2" w14:textId="0A8B9B24" w:rsidR="00533A7B" w:rsidRDefault="00533A7B" w:rsidP="00533A7B">
      <w:pPr>
        <w:jc w:val="both"/>
        <w:rPr>
          <w:rFonts w:ascii="Book Antiqua" w:hAnsi="Book Antiqua"/>
          <w:lang w:val="es-PR"/>
        </w:rPr>
      </w:pPr>
      <w:r>
        <w:rPr>
          <w:rFonts w:ascii="Book Antiqua" w:hAnsi="Book Antiqua"/>
          <w:lang w:val="es-PR"/>
        </w:rPr>
        <w:tab/>
      </w:r>
      <w:r w:rsidR="00880D1C">
        <w:rPr>
          <w:rFonts w:ascii="Book Antiqua" w:hAnsi="Book Antiqua"/>
          <w:lang w:val="es-PR"/>
        </w:rPr>
        <w:t xml:space="preserve">La </w:t>
      </w:r>
      <w:r w:rsidR="007C4605" w:rsidRPr="007C4605">
        <w:rPr>
          <w:rFonts w:ascii="Book Antiqua" w:hAnsi="Book Antiqua"/>
          <w:lang w:val="es-PR"/>
        </w:rPr>
        <w:t xml:space="preserve">Sociedad para Asistencia Legal de Puerto Rico </w:t>
      </w:r>
      <w:r w:rsidR="00880D1C">
        <w:rPr>
          <w:rFonts w:ascii="Book Antiqua" w:hAnsi="Book Antiqua"/>
          <w:lang w:val="es-PR"/>
        </w:rPr>
        <w:t xml:space="preserve">(SAL) establece en su memorial explicativo que coincide en que las lesiones y/o muertes provocadas a las víctimas de accidentes de tránsito son muy lamentables, por lo que ameritan la intervención del Estado para su esclarecimiento y, además, la búsqueda de una solución justa que atienda las necesidades de las personas involucradas en los mismos. </w:t>
      </w:r>
      <w:r w:rsidR="00896D7E">
        <w:rPr>
          <w:rFonts w:ascii="Book Antiqua" w:hAnsi="Book Antiqua"/>
          <w:lang w:val="es-PR"/>
        </w:rPr>
        <w:t>No obstante, hacen la salvedad de que, como institución a cargo de la defensa de las personas imputadas de delito, no pueden avalar medidas cuyo fin sea aumentar el tiempo de reclusión sin posibilidad de que se pueda</w:t>
      </w:r>
      <w:r w:rsidR="00B26F88">
        <w:rPr>
          <w:rFonts w:ascii="Book Antiqua" w:hAnsi="Book Antiqua"/>
          <w:lang w:val="es-PR"/>
        </w:rPr>
        <w:t>n</w:t>
      </w:r>
      <w:r w:rsidR="00896D7E">
        <w:rPr>
          <w:rFonts w:ascii="Book Antiqua" w:hAnsi="Book Antiqua"/>
          <w:lang w:val="es-PR"/>
        </w:rPr>
        <w:t xml:space="preserve"> acoger a una pena alterna de reclusión. Asimismo, no están de acuerdo en que aumentar las penas sirva como disuasivo para incurrir en conducta delictiva. </w:t>
      </w:r>
    </w:p>
    <w:p w14:paraId="547D99B6" w14:textId="77777777" w:rsidR="00880D1C" w:rsidRDefault="00880D1C" w:rsidP="00533A7B">
      <w:pPr>
        <w:jc w:val="both"/>
        <w:rPr>
          <w:rFonts w:ascii="Book Antiqua" w:hAnsi="Book Antiqua"/>
          <w:lang w:val="es-PR"/>
        </w:rPr>
      </w:pPr>
    </w:p>
    <w:p w14:paraId="240DD6E5" w14:textId="4EBB5FBC" w:rsidR="00880D1C" w:rsidRDefault="00880D1C" w:rsidP="00533A7B">
      <w:pPr>
        <w:jc w:val="both"/>
        <w:rPr>
          <w:rFonts w:ascii="Book Antiqua" w:hAnsi="Book Antiqua"/>
          <w:lang w:val="es-PR"/>
        </w:rPr>
      </w:pPr>
      <w:r>
        <w:rPr>
          <w:rFonts w:ascii="Book Antiqua" w:hAnsi="Book Antiqua"/>
          <w:lang w:val="es-PR"/>
        </w:rPr>
        <w:tab/>
      </w:r>
      <w:r w:rsidR="00896D7E">
        <w:rPr>
          <w:rFonts w:ascii="Book Antiqua" w:hAnsi="Book Antiqua"/>
          <w:lang w:val="es-PR"/>
        </w:rPr>
        <w:t xml:space="preserve">La SAL expresa que ha sido consistente en su oposición a toda medida que pretenda eliminar las penas alternas a la reclusión en nuestro ordenamiento jurídico, ya que, a su juicio, se “reduce la posibilidad de adelantar el principio de proporcionalidad que se ampara en la prohibición contra imposiciones de castigos crueles e inusitados”. </w:t>
      </w:r>
    </w:p>
    <w:p w14:paraId="1FDAB728" w14:textId="77777777" w:rsidR="00896D7E" w:rsidRDefault="00896D7E" w:rsidP="00533A7B">
      <w:pPr>
        <w:jc w:val="both"/>
        <w:rPr>
          <w:rFonts w:ascii="Book Antiqua" w:hAnsi="Book Antiqua"/>
          <w:lang w:val="es-PR"/>
        </w:rPr>
      </w:pPr>
    </w:p>
    <w:p w14:paraId="021E7F8B" w14:textId="5F13088D" w:rsidR="00BA1340" w:rsidRPr="000648AB" w:rsidRDefault="00896D7E" w:rsidP="00C953E5">
      <w:pPr>
        <w:jc w:val="both"/>
        <w:rPr>
          <w:rFonts w:ascii="Book Antiqua" w:hAnsi="Book Antiqua"/>
          <w:lang w:val="es-PR"/>
        </w:rPr>
      </w:pPr>
      <w:r>
        <w:rPr>
          <w:rFonts w:ascii="Book Antiqua" w:hAnsi="Book Antiqua"/>
          <w:lang w:val="es-PR"/>
        </w:rPr>
        <w:tab/>
        <w:t xml:space="preserve">Asimismo, la SAL manifestó que la posibilidad de que el tribunal, dentro de su discreción pueda otorgar una sentencia suspendida, no debe ser eliminada. </w:t>
      </w:r>
      <w:r w:rsidR="000648AB">
        <w:rPr>
          <w:rFonts w:ascii="Book Antiqua" w:hAnsi="Book Antiqua"/>
          <w:lang w:val="es-PR"/>
        </w:rPr>
        <w:t>Igualmente, destacaron que el ejercicio de imposición de una pena alterna a la reclusión no es automático, ni se limita a considerar la ausencia de convicciones anteriores.</w:t>
      </w:r>
      <w:r w:rsidR="000648AB" w:rsidRPr="000648AB">
        <w:rPr>
          <w:rFonts w:ascii="Book Antiqua" w:hAnsi="Book Antiqua"/>
          <w:lang w:val="es-PR"/>
        </w:rPr>
        <w:t xml:space="preserve"> Por</w:t>
      </w:r>
      <w:r w:rsidR="00324E8F">
        <w:rPr>
          <w:rFonts w:ascii="Book Antiqua" w:hAnsi="Book Antiqua"/>
          <w:lang w:val="es-PR"/>
        </w:rPr>
        <w:t xml:space="preserve"> las</w:t>
      </w:r>
      <w:r w:rsidR="000648AB" w:rsidRPr="000648AB">
        <w:rPr>
          <w:rFonts w:ascii="Book Antiqua" w:hAnsi="Book Antiqua"/>
          <w:lang w:val="es-PR"/>
        </w:rPr>
        <w:t xml:space="preserve"> </w:t>
      </w:r>
      <w:r w:rsidR="000648AB">
        <w:rPr>
          <w:rFonts w:ascii="Book Antiqua" w:hAnsi="Book Antiqua"/>
          <w:lang w:val="es-PR"/>
        </w:rPr>
        <w:t>razones esbozadas anteriormente</w:t>
      </w:r>
      <w:r w:rsidR="000648AB" w:rsidRPr="000648AB">
        <w:rPr>
          <w:rFonts w:ascii="Book Antiqua" w:hAnsi="Book Antiqua"/>
          <w:lang w:val="es-PR"/>
        </w:rPr>
        <w:t xml:space="preserve">, la SAL consignó su oposición a esta pieza legislativa. </w:t>
      </w:r>
    </w:p>
    <w:p w14:paraId="055C5BD1" w14:textId="77777777" w:rsidR="000C08A0" w:rsidRDefault="000C08A0">
      <w:pPr>
        <w:jc w:val="both"/>
        <w:rPr>
          <w:rFonts w:ascii="Book Antiqua" w:hAnsi="Book Antiqua"/>
          <w:lang w:val="es-ES_tradnl" w:bidi="he-IL"/>
        </w:rPr>
      </w:pPr>
    </w:p>
    <w:p w14:paraId="433B15AD" w14:textId="77777777" w:rsidR="008C245D" w:rsidRPr="00CB06A7" w:rsidRDefault="008C245D" w:rsidP="008C245D">
      <w:pPr>
        <w:jc w:val="center"/>
        <w:rPr>
          <w:rFonts w:ascii="Book Antiqua" w:hAnsi="Book Antiqua"/>
          <w:b/>
          <w:bCs/>
          <w:szCs w:val="24"/>
          <w:lang w:val="es-PR"/>
        </w:rPr>
      </w:pPr>
      <w:r w:rsidRPr="00CB06A7">
        <w:rPr>
          <w:rFonts w:ascii="Book Antiqua" w:hAnsi="Book Antiqua"/>
          <w:b/>
          <w:bCs/>
          <w:szCs w:val="24"/>
          <w:lang w:val="es-PR"/>
        </w:rPr>
        <w:t>SESIÓN PÚBLICA DE CONSIDERACIÓN FINAL</w:t>
      </w:r>
    </w:p>
    <w:p w14:paraId="4CBB62E4" w14:textId="77777777" w:rsidR="008C245D" w:rsidRPr="008C245D" w:rsidRDefault="008C245D" w:rsidP="008C245D">
      <w:pPr>
        <w:jc w:val="both"/>
        <w:rPr>
          <w:rFonts w:ascii="Book Antiqua" w:hAnsi="Book Antiqua"/>
          <w:szCs w:val="24"/>
          <w:lang w:val="es-PR"/>
        </w:rPr>
      </w:pPr>
    </w:p>
    <w:p w14:paraId="51D5EDC5" w14:textId="6C8FE439" w:rsidR="00B23C23" w:rsidRPr="008C245D" w:rsidRDefault="008C245D" w:rsidP="00533A7B">
      <w:pPr>
        <w:ind w:firstLine="720"/>
        <w:jc w:val="both"/>
        <w:rPr>
          <w:rFonts w:ascii="Book Antiqua" w:hAnsi="Book Antiqua"/>
          <w:szCs w:val="24"/>
          <w:lang w:val="es-PR"/>
        </w:rPr>
      </w:pPr>
      <w:r w:rsidRPr="008C245D">
        <w:rPr>
          <w:rFonts w:ascii="Book Antiqua" w:hAnsi="Book Antiqua"/>
          <w:szCs w:val="24"/>
          <w:lang w:val="es-PR"/>
        </w:rPr>
        <w:t xml:space="preserve">La Comisión de </w:t>
      </w:r>
      <w:r w:rsidR="00533A7B">
        <w:rPr>
          <w:rFonts w:ascii="Book Antiqua" w:hAnsi="Book Antiqua"/>
          <w:szCs w:val="24"/>
          <w:lang w:val="es-PR"/>
        </w:rPr>
        <w:t>lo Jurídico</w:t>
      </w:r>
      <w:r w:rsidR="007C685C">
        <w:rPr>
          <w:rFonts w:ascii="Book Antiqua" w:hAnsi="Book Antiqua"/>
          <w:szCs w:val="24"/>
          <w:lang w:val="es-PR"/>
        </w:rPr>
        <w:t xml:space="preserve"> celebró una sesión pública de consideración final (</w:t>
      </w:r>
      <w:r w:rsidR="007C685C" w:rsidRPr="007C685C">
        <w:rPr>
          <w:rFonts w:ascii="Book Antiqua" w:hAnsi="Book Antiqua"/>
          <w:i/>
          <w:iCs/>
          <w:szCs w:val="24"/>
          <w:lang w:val="es-PR"/>
        </w:rPr>
        <w:t>Mark-Up Session</w:t>
      </w:r>
      <w:r w:rsidR="007C685C">
        <w:rPr>
          <w:rFonts w:ascii="Book Antiqua" w:hAnsi="Book Antiqua"/>
          <w:szCs w:val="24"/>
          <w:lang w:val="es-PR"/>
        </w:rPr>
        <w:t>)</w:t>
      </w:r>
      <w:r w:rsidR="00533A7B">
        <w:rPr>
          <w:rFonts w:ascii="Book Antiqua" w:hAnsi="Book Antiqua"/>
          <w:szCs w:val="24"/>
          <w:lang w:val="es-PR"/>
        </w:rPr>
        <w:t xml:space="preserve"> </w:t>
      </w:r>
      <w:r w:rsidR="00533A7B" w:rsidRPr="00533A7B">
        <w:rPr>
          <w:rFonts w:ascii="Book Antiqua" w:hAnsi="Book Antiqua"/>
          <w:szCs w:val="24"/>
          <w:lang w:val="es-PR"/>
        </w:rPr>
        <w:t xml:space="preserve">el </w:t>
      </w:r>
      <w:r w:rsidR="00533A7B">
        <w:rPr>
          <w:rFonts w:ascii="Book Antiqua" w:hAnsi="Book Antiqua"/>
          <w:szCs w:val="24"/>
          <w:lang w:val="es-PR"/>
        </w:rPr>
        <w:t>12</w:t>
      </w:r>
      <w:r w:rsidR="00533A7B" w:rsidRPr="00533A7B">
        <w:rPr>
          <w:rFonts w:ascii="Book Antiqua" w:hAnsi="Book Antiqua"/>
          <w:szCs w:val="24"/>
          <w:lang w:val="es-PR"/>
        </w:rPr>
        <w:t xml:space="preserve"> de </w:t>
      </w:r>
      <w:r w:rsidR="00533A7B">
        <w:rPr>
          <w:rFonts w:ascii="Book Antiqua" w:hAnsi="Book Antiqua"/>
          <w:szCs w:val="24"/>
          <w:lang w:val="es-PR"/>
        </w:rPr>
        <w:t>febrero</w:t>
      </w:r>
      <w:r w:rsidR="00533A7B" w:rsidRPr="00533A7B">
        <w:rPr>
          <w:rFonts w:ascii="Book Antiqua" w:hAnsi="Book Antiqua"/>
          <w:szCs w:val="24"/>
          <w:lang w:val="es-PR"/>
        </w:rPr>
        <w:t xml:space="preserve"> de 202</w:t>
      </w:r>
      <w:r w:rsidR="00533A7B">
        <w:rPr>
          <w:rFonts w:ascii="Book Antiqua" w:hAnsi="Book Antiqua"/>
          <w:szCs w:val="24"/>
          <w:lang w:val="es-PR"/>
        </w:rPr>
        <w:t>4,</w:t>
      </w:r>
      <w:r w:rsidR="00533A7B" w:rsidRPr="00533A7B">
        <w:rPr>
          <w:rFonts w:ascii="Book Antiqua" w:hAnsi="Book Antiqua"/>
          <w:szCs w:val="24"/>
          <w:lang w:val="es-PR"/>
        </w:rPr>
        <w:t xml:space="preserve"> en la cual </w:t>
      </w:r>
      <w:r w:rsidR="00533A7B">
        <w:rPr>
          <w:rFonts w:ascii="Book Antiqua" w:hAnsi="Book Antiqua"/>
          <w:szCs w:val="24"/>
          <w:lang w:val="es-PR"/>
        </w:rPr>
        <w:t>el P. de la C. 1957</w:t>
      </w:r>
      <w:r w:rsidR="00533A7B" w:rsidRPr="00533A7B">
        <w:rPr>
          <w:rFonts w:ascii="Book Antiqua" w:hAnsi="Book Antiqua"/>
          <w:szCs w:val="24"/>
          <w:lang w:val="es-PR"/>
        </w:rPr>
        <w:t xml:space="preserve"> fue avalad</w:t>
      </w:r>
      <w:r w:rsidR="00533A7B">
        <w:rPr>
          <w:rFonts w:ascii="Book Antiqua" w:hAnsi="Book Antiqua"/>
          <w:szCs w:val="24"/>
          <w:lang w:val="es-PR"/>
        </w:rPr>
        <w:t>o</w:t>
      </w:r>
      <w:r w:rsidR="00533A7B" w:rsidRPr="00533A7B">
        <w:rPr>
          <w:rFonts w:ascii="Book Antiqua" w:hAnsi="Book Antiqua"/>
          <w:szCs w:val="24"/>
          <w:lang w:val="es-PR"/>
        </w:rPr>
        <w:t xml:space="preserve"> con enmiendas</w:t>
      </w:r>
      <w:r w:rsidR="00533A7B">
        <w:rPr>
          <w:rFonts w:ascii="Book Antiqua" w:hAnsi="Book Antiqua"/>
          <w:szCs w:val="24"/>
          <w:lang w:val="es-PR"/>
        </w:rPr>
        <w:t>,</w:t>
      </w:r>
      <w:r w:rsidR="00533A7B" w:rsidRPr="00533A7B">
        <w:rPr>
          <w:rFonts w:ascii="Book Antiqua" w:hAnsi="Book Antiqua"/>
          <w:szCs w:val="24"/>
          <w:lang w:val="es-PR"/>
        </w:rPr>
        <w:t xml:space="preserve"> y el Acta de Certificación Positiva se </w:t>
      </w:r>
      <w:r w:rsidR="00533A7B">
        <w:rPr>
          <w:rFonts w:ascii="Book Antiqua" w:hAnsi="Book Antiqua"/>
          <w:szCs w:val="24"/>
          <w:lang w:val="es-PR"/>
        </w:rPr>
        <w:t>aneja</w:t>
      </w:r>
      <w:r w:rsidR="00533A7B" w:rsidRPr="00533A7B">
        <w:rPr>
          <w:rFonts w:ascii="Book Antiqua" w:hAnsi="Book Antiqua"/>
          <w:szCs w:val="24"/>
          <w:lang w:val="es-PR"/>
        </w:rPr>
        <w:t xml:space="preserve"> al presente informe, en cumplimiento con los incisos (e) y (g) de la Sección 12.21 del Reglamento de la Cámara de Representantes.</w:t>
      </w:r>
      <w:r w:rsidR="00533A7B">
        <w:rPr>
          <w:rFonts w:ascii="Book Antiqua" w:hAnsi="Book Antiqua"/>
          <w:szCs w:val="24"/>
          <w:lang w:val="es-PR"/>
        </w:rPr>
        <w:t xml:space="preserve">  </w:t>
      </w:r>
    </w:p>
    <w:p w14:paraId="170F78EF" w14:textId="77777777" w:rsidR="008C245D" w:rsidRPr="00533A7B" w:rsidRDefault="008C245D" w:rsidP="00147EA3">
      <w:pPr>
        <w:pStyle w:val="Heading3"/>
        <w:ind w:firstLine="0"/>
        <w:jc w:val="left"/>
        <w:rPr>
          <w:rFonts w:ascii="Book Antiqua" w:hAnsi="Book Antiqua"/>
          <w:lang w:val="es-PR"/>
        </w:rPr>
      </w:pPr>
    </w:p>
    <w:p w14:paraId="479F1E8C" w14:textId="77777777" w:rsidR="00534B8E" w:rsidRPr="000C08A0" w:rsidRDefault="00534B8E" w:rsidP="00534B8E">
      <w:pPr>
        <w:pStyle w:val="Heading3"/>
        <w:ind w:firstLine="0"/>
      </w:pPr>
      <w:r w:rsidRPr="000C08A0">
        <w:rPr>
          <w:rFonts w:ascii="Book Antiqua" w:hAnsi="Book Antiqua"/>
        </w:rPr>
        <w:t>CONCLUSIÓN</w:t>
      </w:r>
    </w:p>
    <w:p w14:paraId="3E63C3C4" w14:textId="77777777" w:rsidR="00534B8E" w:rsidRPr="000C08A0" w:rsidRDefault="00534B8E" w:rsidP="00534B8E">
      <w:pPr>
        <w:jc w:val="both"/>
        <w:rPr>
          <w:rFonts w:ascii="Book Antiqua" w:hAnsi="Book Antiqua"/>
          <w:lang w:val="es-ES"/>
        </w:rPr>
      </w:pPr>
    </w:p>
    <w:p w14:paraId="145A070E" w14:textId="125CFF21" w:rsidR="00534B8E" w:rsidRPr="000C08A0" w:rsidRDefault="00534B8E" w:rsidP="00533A7B">
      <w:pPr>
        <w:ind w:firstLine="720"/>
        <w:jc w:val="both"/>
        <w:rPr>
          <w:rFonts w:ascii="Book Antiqua" w:hAnsi="Book Antiqua"/>
          <w:lang w:val="es-PR"/>
        </w:rPr>
      </w:pPr>
      <w:r w:rsidRPr="000C08A0">
        <w:rPr>
          <w:rFonts w:ascii="Book Antiqua" w:hAnsi="Book Antiqua"/>
          <w:lang w:val="es-PR"/>
        </w:rPr>
        <w:t xml:space="preserve">Por los fundamentos antes expuestos, la Comisión de </w:t>
      </w:r>
      <w:r w:rsidR="00533A7B">
        <w:rPr>
          <w:rFonts w:ascii="Book Antiqua" w:hAnsi="Book Antiqua"/>
          <w:lang w:val="es-PR"/>
        </w:rPr>
        <w:t>lo Jurídico</w:t>
      </w:r>
      <w:r w:rsidR="000C08A0" w:rsidRPr="000C08A0">
        <w:rPr>
          <w:rFonts w:ascii="Book Antiqua" w:hAnsi="Book Antiqua"/>
          <w:lang w:val="es-PR"/>
        </w:rPr>
        <w:t xml:space="preserve"> de la Cámara de Representantes</w:t>
      </w:r>
      <w:r w:rsidRPr="000C08A0">
        <w:rPr>
          <w:rFonts w:ascii="Book Antiqua" w:hAnsi="Book Antiqua"/>
          <w:lang w:val="es-PR"/>
        </w:rPr>
        <w:t xml:space="preserve"> somete el presente Informe Positivo en el que recom</w:t>
      </w:r>
      <w:r w:rsidR="00CA74E8">
        <w:rPr>
          <w:rFonts w:ascii="Book Antiqua" w:hAnsi="Book Antiqua"/>
          <w:lang w:val="es-PR"/>
        </w:rPr>
        <w:t>ienda</w:t>
      </w:r>
      <w:r w:rsidRPr="000C08A0">
        <w:rPr>
          <w:rFonts w:ascii="Book Antiqua" w:hAnsi="Book Antiqua"/>
          <w:lang w:val="es-PR"/>
        </w:rPr>
        <w:t xml:space="preserve"> a este </w:t>
      </w:r>
      <w:r w:rsidR="003805E9">
        <w:rPr>
          <w:rFonts w:ascii="Book Antiqua" w:hAnsi="Book Antiqua"/>
          <w:lang w:val="es-PR"/>
        </w:rPr>
        <w:t>h</w:t>
      </w:r>
      <w:r w:rsidRPr="000C08A0">
        <w:rPr>
          <w:rFonts w:ascii="Book Antiqua" w:hAnsi="Book Antiqua"/>
          <w:lang w:val="es-PR"/>
        </w:rPr>
        <w:t xml:space="preserve">onorable Cuerpo la aprobación del P. de la C. </w:t>
      </w:r>
      <w:r w:rsidR="00533A7B">
        <w:rPr>
          <w:rFonts w:ascii="Book Antiqua" w:hAnsi="Book Antiqua"/>
          <w:lang w:val="es-PR"/>
        </w:rPr>
        <w:t>1957</w:t>
      </w:r>
      <w:r w:rsidR="00CA74E8">
        <w:rPr>
          <w:rFonts w:ascii="Book Antiqua" w:hAnsi="Book Antiqua"/>
          <w:lang w:val="es-PR"/>
        </w:rPr>
        <w:t xml:space="preserve">, </w:t>
      </w:r>
      <w:r w:rsidRPr="000C08A0">
        <w:rPr>
          <w:rFonts w:ascii="Book Antiqua" w:hAnsi="Book Antiqua"/>
          <w:lang w:val="es-PR"/>
        </w:rPr>
        <w:t>con enmiendas.</w:t>
      </w:r>
    </w:p>
    <w:p w14:paraId="5CCD5730" w14:textId="77777777" w:rsidR="00534B8E" w:rsidRPr="000C08A0" w:rsidRDefault="00534B8E" w:rsidP="00534B8E">
      <w:pPr>
        <w:pStyle w:val="BodyText"/>
        <w:rPr>
          <w:rFonts w:ascii="Book Antiqua" w:hAnsi="Book Antiqua"/>
        </w:rPr>
      </w:pPr>
    </w:p>
    <w:p w14:paraId="4C96A1A1" w14:textId="77777777" w:rsidR="00534B8E" w:rsidRDefault="00534B8E" w:rsidP="00534B8E">
      <w:pPr>
        <w:pStyle w:val="BodyText"/>
        <w:jc w:val="left"/>
        <w:rPr>
          <w:rFonts w:ascii="Book Antiqua" w:hAnsi="Book Antiqua"/>
        </w:rPr>
      </w:pPr>
      <w:r w:rsidRPr="000C08A0">
        <w:rPr>
          <w:rFonts w:ascii="Book Antiqua" w:hAnsi="Book Antiqua"/>
        </w:rPr>
        <w:t>Respetuosamente sometido,</w:t>
      </w:r>
    </w:p>
    <w:p w14:paraId="49C38B7C" w14:textId="77777777" w:rsidR="00534B8E" w:rsidRDefault="00534B8E" w:rsidP="00534B8E">
      <w:pPr>
        <w:pStyle w:val="BodyText"/>
        <w:jc w:val="left"/>
        <w:rPr>
          <w:rFonts w:ascii="Book Antiqua" w:hAnsi="Book Antiqua"/>
        </w:rPr>
      </w:pPr>
    </w:p>
    <w:p w14:paraId="6DCAE065" w14:textId="77777777" w:rsidR="000C08A0" w:rsidRDefault="000C08A0" w:rsidP="00534B8E">
      <w:pPr>
        <w:pStyle w:val="BodyText"/>
        <w:jc w:val="left"/>
        <w:rPr>
          <w:rFonts w:ascii="Book Antiqua" w:hAnsi="Book Antiqua"/>
        </w:rPr>
      </w:pPr>
    </w:p>
    <w:p w14:paraId="255F7814" w14:textId="77777777" w:rsidR="00CA74E8" w:rsidRDefault="00CA74E8" w:rsidP="00534B8E">
      <w:pPr>
        <w:pStyle w:val="BodyText"/>
        <w:jc w:val="left"/>
        <w:rPr>
          <w:rFonts w:ascii="Book Antiqua" w:hAnsi="Book Antiqua"/>
        </w:rPr>
      </w:pPr>
    </w:p>
    <w:p w14:paraId="2009EA5F" w14:textId="77777777" w:rsidR="00CA74E8" w:rsidRDefault="00CA74E8" w:rsidP="00534B8E">
      <w:pPr>
        <w:pStyle w:val="BodyText"/>
        <w:jc w:val="left"/>
        <w:rPr>
          <w:rFonts w:ascii="Book Antiqua" w:hAnsi="Book Antiqua"/>
        </w:rPr>
      </w:pPr>
    </w:p>
    <w:p w14:paraId="47D7F17B" w14:textId="77777777" w:rsidR="00E215C1" w:rsidRDefault="00E215C1" w:rsidP="00534B8E">
      <w:pPr>
        <w:pStyle w:val="BodyText"/>
        <w:jc w:val="left"/>
        <w:rPr>
          <w:rFonts w:ascii="Book Antiqua" w:hAnsi="Book Antiqua"/>
        </w:rPr>
      </w:pPr>
    </w:p>
    <w:p w14:paraId="3EAA2739" w14:textId="77777777" w:rsidR="00E215C1" w:rsidRDefault="00E215C1" w:rsidP="00534B8E">
      <w:pPr>
        <w:pStyle w:val="BodyText"/>
        <w:jc w:val="left"/>
        <w:rPr>
          <w:rFonts w:ascii="Book Antiqua" w:hAnsi="Book Antiqua"/>
        </w:rPr>
      </w:pPr>
    </w:p>
    <w:p w14:paraId="0350C4F7" w14:textId="77777777" w:rsidR="00CA74E8" w:rsidRDefault="00CA74E8" w:rsidP="00534B8E">
      <w:pPr>
        <w:pStyle w:val="BodyText"/>
        <w:jc w:val="left"/>
        <w:rPr>
          <w:rFonts w:ascii="Book Antiqua" w:hAnsi="Book Antiqua"/>
        </w:rPr>
      </w:pPr>
    </w:p>
    <w:p w14:paraId="1B0F866B" w14:textId="3A4BB68A" w:rsidR="000C08A0" w:rsidRDefault="00533A7B" w:rsidP="00534B8E">
      <w:pPr>
        <w:pStyle w:val="BodyText"/>
        <w:jc w:val="left"/>
        <w:rPr>
          <w:rFonts w:ascii="Book Antiqua" w:hAnsi="Book Antiqua"/>
        </w:rPr>
      </w:pPr>
      <w:r>
        <w:rPr>
          <w:rFonts w:ascii="Book Antiqua" w:hAnsi="Book Antiqua"/>
        </w:rPr>
        <w:t>Rafael Hernández Montañez</w:t>
      </w:r>
    </w:p>
    <w:p w14:paraId="3DA476EF" w14:textId="77777777" w:rsidR="000C08A0" w:rsidRDefault="000C08A0" w:rsidP="00534B8E">
      <w:pPr>
        <w:pStyle w:val="BodyText"/>
        <w:jc w:val="left"/>
        <w:rPr>
          <w:rFonts w:ascii="Book Antiqua" w:hAnsi="Book Antiqua"/>
        </w:rPr>
      </w:pPr>
      <w:r>
        <w:rPr>
          <w:rFonts w:ascii="Book Antiqua" w:hAnsi="Book Antiqua"/>
        </w:rPr>
        <w:t xml:space="preserve">Presidente </w:t>
      </w:r>
    </w:p>
    <w:p w14:paraId="120C3F63" w14:textId="27C388E4" w:rsidR="000C08A0" w:rsidRDefault="000C08A0" w:rsidP="00534B8E">
      <w:pPr>
        <w:pStyle w:val="BodyText"/>
        <w:jc w:val="left"/>
        <w:rPr>
          <w:rFonts w:ascii="Book Antiqua" w:hAnsi="Book Antiqua"/>
        </w:rPr>
      </w:pPr>
      <w:r>
        <w:rPr>
          <w:rFonts w:ascii="Book Antiqua" w:hAnsi="Book Antiqua"/>
        </w:rPr>
        <w:t xml:space="preserve">Comisión de </w:t>
      </w:r>
      <w:r w:rsidR="00533A7B">
        <w:rPr>
          <w:rFonts w:ascii="Book Antiqua" w:hAnsi="Book Antiqua"/>
        </w:rPr>
        <w:t>lo Jurídico</w:t>
      </w:r>
    </w:p>
    <w:p w14:paraId="7AE87966" w14:textId="77777777" w:rsidR="00534B8E" w:rsidRPr="001B799D" w:rsidRDefault="00534B8E">
      <w:pPr>
        <w:jc w:val="both"/>
        <w:rPr>
          <w:rFonts w:ascii="Book Antiqua" w:hAnsi="Book Antiqua"/>
          <w:lang w:val="es-PR" w:bidi="he-IL"/>
        </w:rPr>
      </w:pPr>
    </w:p>
    <w:sectPr w:rsidR="00534B8E" w:rsidRPr="001B799D" w:rsidSect="00836ED5">
      <w:headerReference w:type="default" r:id="rId8"/>
      <w:footerReference w:type="default" r:id="rId9"/>
      <w:footerReference w:type="first" r:id="rId10"/>
      <w:type w:val="continuous"/>
      <w:pgSz w:w="12240" w:h="15840" w:code="1"/>
      <w:pgMar w:top="171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4C08" w14:textId="77777777" w:rsidR="00836ED5" w:rsidRDefault="00836ED5">
      <w:r>
        <w:separator/>
      </w:r>
    </w:p>
  </w:endnote>
  <w:endnote w:type="continuationSeparator" w:id="0">
    <w:p w14:paraId="1DB27F53" w14:textId="77777777" w:rsidR="00836ED5" w:rsidRDefault="0083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237079"/>
      <w:docPartObj>
        <w:docPartGallery w:val="Page Numbers (Bottom of Page)"/>
        <w:docPartUnique/>
      </w:docPartObj>
    </w:sdtPr>
    <w:sdtEndPr>
      <w:rPr>
        <w:noProof/>
      </w:rPr>
    </w:sdtEndPr>
    <w:sdtContent>
      <w:p w14:paraId="4CA41D12" w14:textId="77777777" w:rsidR="00B23C23" w:rsidRDefault="00B23C23">
        <w:pPr>
          <w:pStyle w:val="Footer"/>
          <w:jc w:val="right"/>
        </w:pPr>
        <w:r>
          <w:fldChar w:fldCharType="begin"/>
        </w:r>
        <w:r>
          <w:instrText xml:space="preserve"> PAGE   \* MERGEFORMAT </w:instrText>
        </w:r>
        <w:r>
          <w:fldChar w:fldCharType="separate"/>
        </w:r>
        <w:r w:rsidR="00C2777A">
          <w:rPr>
            <w:noProof/>
          </w:rPr>
          <w:t>2</w:t>
        </w:r>
        <w:r>
          <w:rPr>
            <w:noProof/>
          </w:rPr>
          <w:fldChar w:fldCharType="end"/>
        </w:r>
      </w:p>
    </w:sdtContent>
  </w:sdt>
  <w:p w14:paraId="4EFC1AD9" w14:textId="77777777" w:rsidR="00B23C23" w:rsidRDefault="00B23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250D" w14:textId="77777777" w:rsidR="006D2429" w:rsidRDefault="006D2429">
    <w:pPr>
      <w:pStyle w:val="Footer"/>
      <w:jc w:val="right"/>
    </w:pPr>
  </w:p>
  <w:p w14:paraId="6D834D4B" w14:textId="77777777" w:rsidR="006D2429" w:rsidRDefault="006D2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A35B" w14:textId="77777777" w:rsidR="00836ED5" w:rsidRDefault="00836ED5">
      <w:r>
        <w:separator/>
      </w:r>
    </w:p>
  </w:footnote>
  <w:footnote w:type="continuationSeparator" w:id="0">
    <w:p w14:paraId="6C18E678" w14:textId="77777777" w:rsidR="00836ED5" w:rsidRDefault="00836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3B18" w14:textId="0AECDFD9" w:rsidR="00CE4227" w:rsidRPr="00440C02" w:rsidRDefault="00CE4227" w:rsidP="00CE4227">
    <w:pPr>
      <w:pStyle w:val="Header"/>
      <w:rPr>
        <w:rFonts w:ascii="Book Antiqua" w:hAnsi="Book Antiqua"/>
        <w:b/>
        <w:bCs/>
        <w:sz w:val="22"/>
        <w:szCs w:val="18"/>
        <w:lang w:val="es-PR"/>
      </w:rPr>
    </w:pPr>
    <w:r w:rsidRPr="00440C02">
      <w:rPr>
        <w:rFonts w:ascii="Book Antiqua" w:hAnsi="Book Antiqua"/>
        <w:b/>
        <w:bCs/>
        <w:sz w:val="22"/>
        <w:szCs w:val="18"/>
        <w:lang w:val="es-PR"/>
      </w:rPr>
      <w:t xml:space="preserve">Informe Positivo </w:t>
    </w:r>
    <w:r w:rsidR="008351AE" w:rsidRPr="00440C02">
      <w:rPr>
        <w:rFonts w:ascii="Book Antiqua" w:hAnsi="Book Antiqua"/>
        <w:b/>
        <w:bCs/>
        <w:sz w:val="22"/>
        <w:szCs w:val="18"/>
        <w:lang w:val="es-PR"/>
      </w:rPr>
      <w:t>P. de la C. 1957</w:t>
    </w:r>
    <w:r w:rsidRPr="00440C02">
      <w:rPr>
        <w:rFonts w:ascii="Book Antiqua" w:hAnsi="Book Antiqua"/>
        <w:b/>
        <w:bCs/>
        <w:sz w:val="22"/>
        <w:szCs w:val="18"/>
        <w:lang w:val="es-PR"/>
      </w:rPr>
      <w:t xml:space="preserve"> </w:t>
    </w:r>
  </w:p>
  <w:p w14:paraId="2511F3EB" w14:textId="454054FA" w:rsidR="00CE4227" w:rsidRPr="00440C02" w:rsidRDefault="00CE4227" w:rsidP="00CE4227">
    <w:pPr>
      <w:pStyle w:val="Header"/>
      <w:rPr>
        <w:rFonts w:ascii="Book Antiqua" w:hAnsi="Book Antiqua"/>
        <w:b/>
        <w:bCs/>
        <w:sz w:val="22"/>
        <w:szCs w:val="18"/>
        <w:lang w:val="es-PR"/>
      </w:rPr>
    </w:pPr>
    <w:r w:rsidRPr="00440C02">
      <w:rPr>
        <w:rFonts w:ascii="Book Antiqua" w:hAnsi="Book Antiqua"/>
        <w:b/>
        <w:bCs/>
        <w:sz w:val="22"/>
        <w:szCs w:val="18"/>
        <w:lang w:val="es-PR"/>
      </w:rPr>
      <w:t xml:space="preserve">Comisión de </w:t>
    </w:r>
    <w:r w:rsidR="008351AE" w:rsidRPr="00440C02">
      <w:rPr>
        <w:rFonts w:ascii="Book Antiqua" w:hAnsi="Book Antiqua"/>
        <w:b/>
        <w:bCs/>
        <w:sz w:val="22"/>
        <w:szCs w:val="18"/>
        <w:lang w:val="es-PR"/>
      </w:rPr>
      <w:t>lo Jurídico</w:t>
    </w:r>
  </w:p>
  <w:p w14:paraId="4E802885" w14:textId="1FDB7D57" w:rsidR="00440C02" w:rsidRPr="00440C02" w:rsidRDefault="00440C02" w:rsidP="00CE4227">
    <w:pPr>
      <w:pStyle w:val="Header"/>
      <w:rPr>
        <w:rFonts w:ascii="Book Antiqua" w:hAnsi="Book Antiqua"/>
        <w:b/>
        <w:bCs/>
        <w:sz w:val="22"/>
        <w:szCs w:val="18"/>
        <w:lang w:val="es-PR"/>
      </w:rPr>
    </w:pPr>
    <w:r w:rsidRPr="00440C02">
      <w:rPr>
        <w:rFonts w:ascii="Book Antiqua" w:hAnsi="Book Antiqua"/>
        <w:b/>
        <w:bCs/>
        <w:sz w:val="22"/>
        <w:szCs w:val="18"/>
        <w:lang w:val="es-PR"/>
      </w:rPr>
      <w:t>Cámara de Representantes</w:t>
    </w:r>
  </w:p>
  <w:p w14:paraId="3CC73CF0" w14:textId="77777777" w:rsidR="00F042CB" w:rsidRPr="00CE4227" w:rsidRDefault="00F042CB">
    <w:pPr>
      <w:pStyle w:val="Header"/>
      <w:jc w:val="center"/>
      <w:rPr>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1FFF"/>
    <w:multiLevelType w:val="hybridMultilevel"/>
    <w:tmpl w:val="8458A14E"/>
    <w:lvl w:ilvl="0" w:tplc="5A54C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231CC"/>
    <w:multiLevelType w:val="hybridMultilevel"/>
    <w:tmpl w:val="F7BEC288"/>
    <w:lvl w:ilvl="0" w:tplc="B6D45284">
      <w:start w:val="1"/>
      <w:numFmt w:val="decimal"/>
      <w:lvlText w:val="(%1)"/>
      <w:lvlJc w:val="left"/>
      <w:pPr>
        <w:ind w:left="1130" w:hanging="41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 w15:restartNumberingAfterBreak="0">
    <w:nsid w:val="35EE2D6F"/>
    <w:multiLevelType w:val="hybridMultilevel"/>
    <w:tmpl w:val="0336A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A3A11"/>
    <w:multiLevelType w:val="hybridMultilevel"/>
    <w:tmpl w:val="D1EAB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36B32"/>
    <w:multiLevelType w:val="hybridMultilevel"/>
    <w:tmpl w:val="7A6E4A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36D6760"/>
    <w:multiLevelType w:val="hybridMultilevel"/>
    <w:tmpl w:val="3EB4E94A"/>
    <w:lvl w:ilvl="0" w:tplc="9D903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2916036">
    <w:abstractNumId w:val="1"/>
  </w:num>
  <w:num w:numId="2" w16cid:durableId="1605650175">
    <w:abstractNumId w:val="3"/>
  </w:num>
  <w:num w:numId="3" w16cid:durableId="222102345">
    <w:abstractNumId w:val="5"/>
  </w:num>
  <w:num w:numId="4" w16cid:durableId="1102989702">
    <w:abstractNumId w:val="4"/>
  </w:num>
  <w:num w:numId="5" w16cid:durableId="1109860965">
    <w:abstractNumId w:val="0"/>
  </w:num>
  <w:num w:numId="6" w16cid:durableId="194584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C953E5"/>
    <w:rsid w:val="00016BE0"/>
    <w:rsid w:val="00020BBB"/>
    <w:rsid w:val="00056024"/>
    <w:rsid w:val="0005774F"/>
    <w:rsid w:val="00057B57"/>
    <w:rsid w:val="000648AB"/>
    <w:rsid w:val="00095AE1"/>
    <w:rsid w:val="000A18FB"/>
    <w:rsid w:val="000A6B6C"/>
    <w:rsid w:val="000B0DBB"/>
    <w:rsid w:val="000C08A0"/>
    <w:rsid w:val="000D10A7"/>
    <w:rsid w:val="000F08C2"/>
    <w:rsid w:val="00110C5A"/>
    <w:rsid w:val="00111E71"/>
    <w:rsid w:val="00127C6A"/>
    <w:rsid w:val="00132596"/>
    <w:rsid w:val="001363FE"/>
    <w:rsid w:val="00147EA3"/>
    <w:rsid w:val="001639B1"/>
    <w:rsid w:val="001701E4"/>
    <w:rsid w:val="0017132B"/>
    <w:rsid w:val="001770D7"/>
    <w:rsid w:val="0018209A"/>
    <w:rsid w:val="001A20AC"/>
    <w:rsid w:val="001B799D"/>
    <w:rsid w:val="001C0089"/>
    <w:rsid w:val="001C5BB2"/>
    <w:rsid w:val="001F4CA3"/>
    <w:rsid w:val="001F612A"/>
    <w:rsid w:val="00211396"/>
    <w:rsid w:val="00226AE6"/>
    <w:rsid w:val="00245B34"/>
    <w:rsid w:val="00261E92"/>
    <w:rsid w:val="00263355"/>
    <w:rsid w:val="00273792"/>
    <w:rsid w:val="00276B26"/>
    <w:rsid w:val="00290BF4"/>
    <w:rsid w:val="002A6E46"/>
    <w:rsid w:val="002C4B67"/>
    <w:rsid w:val="002D4AC8"/>
    <w:rsid w:val="002E3D26"/>
    <w:rsid w:val="00320D78"/>
    <w:rsid w:val="00320E46"/>
    <w:rsid w:val="00324E8F"/>
    <w:rsid w:val="00331C66"/>
    <w:rsid w:val="00341521"/>
    <w:rsid w:val="00342ECE"/>
    <w:rsid w:val="0035118B"/>
    <w:rsid w:val="0035393A"/>
    <w:rsid w:val="0037612F"/>
    <w:rsid w:val="003805E9"/>
    <w:rsid w:val="00380FE5"/>
    <w:rsid w:val="003924DD"/>
    <w:rsid w:val="00394FCB"/>
    <w:rsid w:val="003963F4"/>
    <w:rsid w:val="003B5254"/>
    <w:rsid w:val="003B5502"/>
    <w:rsid w:val="003B75A6"/>
    <w:rsid w:val="003D6E80"/>
    <w:rsid w:val="004061CA"/>
    <w:rsid w:val="00415689"/>
    <w:rsid w:val="00415F4F"/>
    <w:rsid w:val="0042029D"/>
    <w:rsid w:val="00434A37"/>
    <w:rsid w:val="00440C02"/>
    <w:rsid w:val="004440CB"/>
    <w:rsid w:val="004713D2"/>
    <w:rsid w:val="00493546"/>
    <w:rsid w:val="004B6B23"/>
    <w:rsid w:val="004C23E9"/>
    <w:rsid w:val="004D1C2C"/>
    <w:rsid w:val="004F24B3"/>
    <w:rsid w:val="00521639"/>
    <w:rsid w:val="00532BB7"/>
    <w:rsid w:val="005332E4"/>
    <w:rsid w:val="00533A7B"/>
    <w:rsid w:val="00534B8E"/>
    <w:rsid w:val="0053550C"/>
    <w:rsid w:val="00545082"/>
    <w:rsid w:val="00547D0B"/>
    <w:rsid w:val="00555018"/>
    <w:rsid w:val="005723DC"/>
    <w:rsid w:val="005904C0"/>
    <w:rsid w:val="005B35C0"/>
    <w:rsid w:val="005B4270"/>
    <w:rsid w:val="005C2FDE"/>
    <w:rsid w:val="005C44D7"/>
    <w:rsid w:val="00602310"/>
    <w:rsid w:val="00616AAC"/>
    <w:rsid w:val="00616BB6"/>
    <w:rsid w:val="006210DC"/>
    <w:rsid w:val="00633ACA"/>
    <w:rsid w:val="0064349D"/>
    <w:rsid w:val="00653EED"/>
    <w:rsid w:val="00656206"/>
    <w:rsid w:val="00685549"/>
    <w:rsid w:val="006B7365"/>
    <w:rsid w:val="006C2D81"/>
    <w:rsid w:val="006C4506"/>
    <w:rsid w:val="006C49EA"/>
    <w:rsid w:val="006C7DF8"/>
    <w:rsid w:val="006D2429"/>
    <w:rsid w:val="00702F19"/>
    <w:rsid w:val="00720B87"/>
    <w:rsid w:val="00735D3C"/>
    <w:rsid w:val="00750FC8"/>
    <w:rsid w:val="007533D0"/>
    <w:rsid w:val="00755069"/>
    <w:rsid w:val="00763775"/>
    <w:rsid w:val="007B0660"/>
    <w:rsid w:val="007C138F"/>
    <w:rsid w:val="007C4605"/>
    <w:rsid w:val="007C685C"/>
    <w:rsid w:val="007E3868"/>
    <w:rsid w:val="007E641C"/>
    <w:rsid w:val="007F12D1"/>
    <w:rsid w:val="007F53C9"/>
    <w:rsid w:val="00800232"/>
    <w:rsid w:val="00820C41"/>
    <w:rsid w:val="008351AE"/>
    <w:rsid w:val="00836ED5"/>
    <w:rsid w:val="00850256"/>
    <w:rsid w:val="00877EC1"/>
    <w:rsid w:val="00880D1C"/>
    <w:rsid w:val="00896D7E"/>
    <w:rsid w:val="0089763C"/>
    <w:rsid w:val="008C245D"/>
    <w:rsid w:val="00915E0F"/>
    <w:rsid w:val="00922D11"/>
    <w:rsid w:val="0092669F"/>
    <w:rsid w:val="00926F32"/>
    <w:rsid w:val="00931E25"/>
    <w:rsid w:val="0093686F"/>
    <w:rsid w:val="0094054C"/>
    <w:rsid w:val="00942FD4"/>
    <w:rsid w:val="009476CF"/>
    <w:rsid w:val="009517F3"/>
    <w:rsid w:val="00951997"/>
    <w:rsid w:val="00973926"/>
    <w:rsid w:val="00976B90"/>
    <w:rsid w:val="00982CE6"/>
    <w:rsid w:val="00985630"/>
    <w:rsid w:val="00990352"/>
    <w:rsid w:val="009A1713"/>
    <w:rsid w:val="009A4C97"/>
    <w:rsid w:val="009C3E59"/>
    <w:rsid w:val="009F0DDC"/>
    <w:rsid w:val="00A03405"/>
    <w:rsid w:val="00A1528A"/>
    <w:rsid w:val="00A207AA"/>
    <w:rsid w:val="00A21A8B"/>
    <w:rsid w:val="00A33918"/>
    <w:rsid w:val="00A465BF"/>
    <w:rsid w:val="00A528D9"/>
    <w:rsid w:val="00A7629F"/>
    <w:rsid w:val="00AA412E"/>
    <w:rsid w:val="00AF0CEE"/>
    <w:rsid w:val="00B02009"/>
    <w:rsid w:val="00B14483"/>
    <w:rsid w:val="00B23C23"/>
    <w:rsid w:val="00B26F88"/>
    <w:rsid w:val="00B46C8F"/>
    <w:rsid w:val="00B667AD"/>
    <w:rsid w:val="00B80591"/>
    <w:rsid w:val="00B84C38"/>
    <w:rsid w:val="00B86C00"/>
    <w:rsid w:val="00B947F6"/>
    <w:rsid w:val="00BA1340"/>
    <w:rsid w:val="00BF16AA"/>
    <w:rsid w:val="00C11BB1"/>
    <w:rsid w:val="00C2777A"/>
    <w:rsid w:val="00C32438"/>
    <w:rsid w:val="00C326EE"/>
    <w:rsid w:val="00C34713"/>
    <w:rsid w:val="00C354B8"/>
    <w:rsid w:val="00C52517"/>
    <w:rsid w:val="00C60921"/>
    <w:rsid w:val="00C62936"/>
    <w:rsid w:val="00C653F2"/>
    <w:rsid w:val="00C679E6"/>
    <w:rsid w:val="00C87EF3"/>
    <w:rsid w:val="00C908F9"/>
    <w:rsid w:val="00C953E5"/>
    <w:rsid w:val="00CA0917"/>
    <w:rsid w:val="00CA1099"/>
    <w:rsid w:val="00CA3C8C"/>
    <w:rsid w:val="00CA74E8"/>
    <w:rsid w:val="00CB06A7"/>
    <w:rsid w:val="00CB7749"/>
    <w:rsid w:val="00CE4227"/>
    <w:rsid w:val="00CF2049"/>
    <w:rsid w:val="00D34359"/>
    <w:rsid w:val="00D417C2"/>
    <w:rsid w:val="00D60936"/>
    <w:rsid w:val="00D64358"/>
    <w:rsid w:val="00D7048F"/>
    <w:rsid w:val="00D709EB"/>
    <w:rsid w:val="00D7344F"/>
    <w:rsid w:val="00D74714"/>
    <w:rsid w:val="00D82F3F"/>
    <w:rsid w:val="00D921C6"/>
    <w:rsid w:val="00D958C2"/>
    <w:rsid w:val="00DE390F"/>
    <w:rsid w:val="00DF5614"/>
    <w:rsid w:val="00E03C1B"/>
    <w:rsid w:val="00E03E6E"/>
    <w:rsid w:val="00E04AB5"/>
    <w:rsid w:val="00E15C7C"/>
    <w:rsid w:val="00E215C1"/>
    <w:rsid w:val="00E400E2"/>
    <w:rsid w:val="00E44419"/>
    <w:rsid w:val="00E50EEA"/>
    <w:rsid w:val="00E52F58"/>
    <w:rsid w:val="00E82562"/>
    <w:rsid w:val="00E85436"/>
    <w:rsid w:val="00EB18C4"/>
    <w:rsid w:val="00EB72EC"/>
    <w:rsid w:val="00EC26AA"/>
    <w:rsid w:val="00ED7A53"/>
    <w:rsid w:val="00EE4273"/>
    <w:rsid w:val="00F02004"/>
    <w:rsid w:val="00F042CB"/>
    <w:rsid w:val="00F26965"/>
    <w:rsid w:val="00F60A20"/>
    <w:rsid w:val="00F95805"/>
    <w:rsid w:val="00FA7461"/>
    <w:rsid w:val="00FB469B"/>
    <w:rsid w:val="00FC0A95"/>
    <w:rsid w:val="00FC3D9C"/>
    <w:rsid w:val="00FF0153"/>
    <w:rsid w:val="00FF3E8A"/>
    <w:rsid w:val="00FF4DD7"/>
    <w:rsid w:val="00FF5CA5"/>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F2CC0"/>
  <w15:chartTrackingRefBased/>
  <w15:docId w15:val="{32C436F8-F627-4A77-B5A1-1125AC49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semiHidden/>
    <w:unhideWhenUsed/>
    <w:qFormat/>
    <w:rsid w:val="00534B8E"/>
    <w:pPr>
      <w:keepNext/>
      <w:ind w:firstLine="720"/>
      <w:jc w:val="center"/>
      <w:outlineLvl w:val="2"/>
    </w:pPr>
    <w:rPr>
      <w:b/>
      <w:bCs/>
      <w:spacing w:val="-3"/>
      <w:szCs w:val="24"/>
      <w:lang w:val="es-E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nhideWhenUsed/>
    <w:rsid w:val="00C953E5"/>
    <w:pPr>
      <w:spacing w:before="100" w:beforeAutospacing="1" w:after="100" w:afterAutospacing="1"/>
    </w:pPr>
    <w:rPr>
      <w:szCs w:val="24"/>
      <w:lang w:val="es-PR"/>
    </w:rPr>
  </w:style>
  <w:style w:type="paragraph" w:customStyle="1" w:styleId="Firmas">
    <w:name w:val="Firmas"/>
    <w:basedOn w:val="Normal"/>
    <w:pPr>
      <w:tabs>
        <w:tab w:val="center" w:pos="1440"/>
        <w:tab w:val="center" w:pos="7200"/>
      </w:tabs>
    </w:pPr>
    <w:rPr>
      <w:lang w:val="es-ES_tradnl"/>
    </w:rPr>
  </w:style>
  <w:style w:type="paragraph" w:styleId="BalloonText">
    <w:name w:val="Balloon Text"/>
    <w:basedOn w:val="Normal"/>
    <w:link w:val="BalloonTextChar"/>
    <w:uiPriority w:val="99"/>
    <w:semiHidden/>
    <w:unhideWhenUsed/>
    <w:rsid w:val="00616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AAC"/>
    <w:rPr>
      <w:rFonts w:ascii="Segoe UI" w:hAnsi="Segoe UI" w:cs="Segoe UI"/>
      <w:sz w:val="18"/>
      <w:szCs w:val="18"/>
    </w:rPr>
  </w:style>
  <w:style w:type="character" w:customStyle="1" w:styleId="FooterChar">
    <w:name w:val="Footer Char"/>
    <w:basedOn w:val="DefaultParagraphFont"/>
    <w:link w:val="Footer"/>
    <w:uiPriority w:val="99"/>
    <w:rsid w:val="006D2429"/>
    <w:rPr>
      <w:sz w:val="24"/>
    </w:rPr>
  </w:style>
  <w:style w:type="character" w:customStyle="1" w:styleId="Heading3Char">
    <w:name w:val="Heading 3 Char"/>
    <w:basedOn w:val="DefaultParagraphFont"/>
    <w:link w:val="Heading3"/>
    <w:uiPriority w:val="9"/>
    <w:semiHidden/>
    <w:rsid w:val="00534B8E"/>
    <w:rPr>
      <w:b/>
      <w:bCs/>
      <w:spacing w:val="-3"/>
      <w:sz w:val="24"/>
      <w:szCs w:val="24"/>
      <w:lang w:val="es-ES" w:eastAsia="x-none"/>
    </w:rPr>
  </w:style>
  <w:style w:type="paragraph" w:styleId="BodyText">
    <w:name w:val="Body Text"/>
    <w:basedOn w:val="Normal"/>
    <w:link w:val="BodyTextChar"/>
    <w:uiPriority w:val="99"/>
    <w:semiHidden/>
    <w:unhideWhenUsed/>
    <w:rsid w:val="00534B8E"/>
    <w:pPr>
      <w:jc w:val="both"/>
    </w:pPr>
    <w:rPr>
      <w:szCs w:val="24"/>
      <w:lang w:val="es-PR" w:eastAsia="x-none"/>
    </w:rPr>
  </w:style>
  <w:style w:type="character" w:customStyle="1" w:styleId="BodyTextChar">
    <w:name w:val="Body Text Char"/>
    <w:basedOn w:val="DefaultParagraphFont"/>
    <w:link w:val="BodyText"/>
    <w:uiPriority w:val="99"/>
    <w:semiHidden/>
    <w:rsid w:val="00534B8E"/>
    <w:rPr>
      <w:sz w:val="24"/>
      <w:szCs w:val="24"/>
      <w:lang w:val="es-PR" w:eastAsia="x-none"/>
    </w:rPr>
  </w:style>
  <w:style w:type="character" w:customStyle="1" w:styleId="HeaderChar">
    <w:name w:val="Header Char"/>
    <w:basedOn w:val="DefaultParagraphFont"/>
    <w:link w:val="Header"/>
    <w:uiPriority w:val="99"/>
    <w:rsid w:val="00CE4227"/>
    <w:rPr>
      <w:sz w:val="24"/>
    </w:rPr>
  </w:style>
  <w:style w:type="paragraph" w:styleId="ListParagraph">
    <w:name w:val="List Paragraph"/>
    <w:basedOn w:val="Normal"/>
    <w:uiPriority w:val="34"/>
    <w:qFormat/>
    <w:rsid w:val="00320E46"/>
    <w:pPr>
      <w:ind w:left="720"/>
      <w:contextualSpacing/>
    </w:pPr>
  </w:style>
  <w:style w:type="paragraph" w:styleId="BodyTextIndent3">
    <w:name w:val="Body Text Indent 3"/>
    <w:basedOn w:val="Normal"/>
    <w:link w:val="BodyTextIndent3Char"/>
    <w:uiPriority w:val="99"/>
    <w:semiHidden/>
    <w:unhideWhenUsed/>
    <w:rsid w:val="00A21A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21A8B"/>
    <w:rPr>
      <w:sz w:val="16"/>
      <w:szCs w:val="16"/>
    </w:rPr>
  </w:style>
  <w:style w:type="table" w:styleId="TableGrid">
    <w:name w:val="Table Grid"/>
    <w:basedOn w:val="TableNormal"/>
    <w:uiPriority w:val="59"/>
    <w:rsid w:val="006C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84744">
      <w:bodyDiv w:val="1"/>
      <w:marLeft w:val="0"/>
      <w:marRight w:val="0"/>
      <w:marTop w:val="0"/>
      <w:marBottom w:val="0"/>
      <w:divBdr>
        <w:top w:val="none" w:sz="0" w:space="0" w:color="auto"/>
        <w:left w:val="none" w:sz="0" w:space="0" w:color="auto"/>
        <w:bottom w:val="none" w:sz="0" w:space="0" w:color="auto"/>
        <w:right w:val="none" w:sz="0" w:space="0" w:color="auto"/>
      </w:divBdr>
    </w:div>
    <w:div w:id="1161508093">
      <w:bodyDiv w:val="1"/>
      <w:marLeft w:val="0"/>
      <w:marRight w:val="0"/>
      <w:marTop w:val="0"/>
      <w:marBottom w:val="0"/>
      <w:divBdr>
        <w:top w:val="none" w:sz="0" w:space="0" w:color="auto"/>
        <w:left w:val="none" w:sz="0" w:space="0" w:color="auto"/>
        <w:bottom w:val="none" w:sz="0" w:space="0" w:color="auto"/>
        <w:right w:val="none" w:sz="0" w:space="0" w:color="auto"/>
      </w:divBdr>
    </w:div>
    <w:div w:id="1659529606">
      <w:bodyDiv w:val="1"/>
      <w:marLeft w:val="0"/>
      <w:marRight w:val="0"/>
      <w:marTop w:val="0"/>
      <w:marBottom w:val="0"/>
      <w:divBdr>
        <w:top w:val="none" w:sz="0" w:space="0" w:color="auto"/>
        <w:left w:val="none" w:sz="0" w:space="0" w:color="auto"/>
        <w:bottom w:val="none" w:sz="0" w:space="0" w:color="auto"/>
        <w:right w:val="none" w:sz="0" w:space="0" w:color="auto"/>
      </w:divBdr>
    </w:div>
    <w:div w:id="206975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4</TotalTime>
  <Pages>8</Pages>
  <Words>2926</Words>
  <Characters>15122</Characters>
  <Application>Microsoft Office Word</Application>
  <DocSecurity>4</DocSecurity>
  <Lines>126</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asesora - IT</vt:lpstr>
      <vt:lpstr>asesora - IT</vt:lpstr>
    </vt:vector>
  </TitlesOfParts>
  <Company> </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Ayleen Figueroa Vázquez</dc:creator>
  <cp:keywords/>
  <cp:lastModifiedBy>Janelle M. Bonilla Ortiz</cp:lastModifiedBy>
  <cp:revision>2</cp:revision>
  <cp:lastPrinted>2021-06-08T14:45:00Z</cp:lastPrinted>
  <dcterms:created xsi:type="dcterms:W3CDTF">2024-02-12T21:06:00Z</dcterms:created>
  <dcterms:modified xsi:type="dcterms:W3CDTF">2024-02-12T21:06:00Z</dcterms:modified>
</cp:coreProperties>
</file>