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ED7E" w14:textId="77777777" w:rsidR="00695E3F" w:rsidRPr="000F1A77" w:rsidRDefault="003F1D89" w:rsidP="00634689">
      <w:pPr>
        <w:suppressLineNumbers/>
        <w:spacing w:before="229"/>
        <w:ind w:left="2288" w:right="1711"/>
        <w:jc w:val="center"/>
        <w:rPr>
          <w:rFonts w:ascii="Book Antiqua" w:hAnsi="Book Antiqua"/>
          <w:sz w:val="28"/>
        </w:rPr>
      </w:pPr>
      <w:r w:rsidRPr="000F1A77">
        <w:rPr>
          <w:rFonts w:ascii="Book Antiqua" w:hAnsi="Book Antiqua"/>
          <w:sz w:val="28"/>
        </w:rPr>
        <w:t>ESTADO</w:t>
      </w:r>
      <w:r w:rsidRPr="000F1A77">
        <w:rPr>
          <w:rFonts w:ascii="Book Antiqua" w:hAnsi="Book Antiqua"/>
          <w:spacing w:val="-5"/>
          <w:sz w:val="28"/>
        </w:rPr>
        <w:t xml:space="preserve"> </w:t>
      </w:r>
      <w:r w:rsidRPr="000F1A77">
        <w:rPr>
          <w:rFonts w:ascii="Book Antiqua" w:hAnsi="Book Antiqua"/>
          <w:sz w:val="28"/>
        </w:rPr>
        <w:t>LIBRE</w:t>
      </w:r>
      <w:r w:rsidRPr="000F1A77">
        <w:rPr>
          <w:rFonts w:ascii="Book Antiqua" w:hAnsi="Book Antiqua"/>
          <w:spacing w:val="-1"/>
          <w:sz w:val="28"/>
        </w:rPr>
        <w:t xml:space="preserve"> </w:t>
      </w:r>
      <w:r w:rsidRPr="000F1A77">
        <w:rPr>
          <w:rFonts w:ascii="Book Antiqua" w:hAnsi="Book Antiqua"/>
          <w:sz w:val="28"/>
        </w:rPr>
        <w:t>ASOCIADO</w:t>
      </w:r>
      <w:r w:rsidRPr="000F1A77">
        <w:rPr>
          <w:rFonts w:ascii="Book Antiqua" w:hAnsi="Book Antiqua"/>
          <w:spacing w:val="-5"/>
          <w:sz w:val="28"/>
        </w:rPr>
        <w:t xml:space="preserve"> </w:t>
      </w:r>
      <w:r w:rsidRPr="000F1A77">
        <w:rPr>
          <w:rFonts w:ascii="Book Antiqua" w:hAnsi="Book Antiqua"/>
          <w:sz w:val="28"/>
        </w:rPr>
        <w:t>DE</w:t>
      </w:r>
      <w:r w:rsidRPr="000F1A77">
        <w:rPr>
          <w:rFonts w:ascii="Book Antiqua" w:hAnsi="Book Antiqua"/>
          <w:spacing w:val="-1"/>
          <w:sz w:val="28"/>
        </w:rPr>
        <w:t xml:space="preserve"> </w:t>
      </w:r>
      <w:r w:rsidRPr="000F1A77">
        <w:rPr>
          <w:rFonts w:ascii="Book Antiqua" w:hAnsi="Book Antiqua"/>
          <w:sz w:val="28"/>
        </w:rPr>
        <w:t>PUERTO</w:t>
      </w:r>
      <w:r w:rsidRPr="000F1A77">
        <w:rPr>
          <w:rFonts w:ascii="Book Antiqua" w:hAnsi="Book Antiqua"/>
          <w:spacing w:val="-2"/>
          <w:sz w:val="28"/>
        </w:rPr>
        <w:t xml:space="preserve"> </w:t>
      </w:r>
      <w:r w:rsidRPr="000F1A77">
        <w:rPr>
          <w:rFonts w:ascii="Book Antiqua" w:hAnsi="Book Antiqua"/>
          <w:sz w:val="28"/>
        </w:rPr>
        <w:t>RICO</w:t>
      </w:r>
    </w:p>
    <w:p w14:paraId="183CEA92" w14:textId="3AFE0769" w:rsidR="00695E3F" w:rsidRPr="000F1A77" w:rsidRDefault="003F1D89" w:rsidP="00C65E6E">
      <w:pPr>
        <w:pStyle w:val="Textoindependiente"/>
        <w:suppressLineNumbers/>
        <w:tabs>
          <w:tab w:val="left" w:pos="8561"/>
        </w:tabs>
        <w:spacing w:before="272" w:line="311" w:lineRule="exact"/>
        <w:rPr>
          <w:rFonts w:ascii="Book Antiqua" w:hAnsi="Book Antiqua"/>
        </w:rPr>
      </w:pPr>
      <w:r w:rsidRPr="000F1A77">
        <w:rPr>
          <w:rFonts w:ascii="Book Antiqua" w:hAnsi="Book Antiqua"/>
        </w:rPr>
        <w:t>19na.</w:t>
      </w:r>
      <w:r w:rsidRPr="000F1A77">
        <w:rPr>
          <w:rFonts w:ascii="Book Antiqua" w:hAnsi="Book Antiqua"/>
          <w:spacing w:val="-2"/>
        </w:rPr>
        <w:t xml:space="preserve"> </w:t>
      </w:r>
      <w:r w:rsidRPr="000F1A77">
        <w:rPr>
          <w:rFonts w:ascii="Book Antiqua" w:hAnsi="Book Antiqua"/>
        </w:rPr>
        <w:t>Asamblea</w:t>
      </w:r>
      <w:r w:rsidR="00C65E6E">
        <w:rPr>
          <w:rFonts w:ascii="Book Antiqua" w:hAnsi="Book Antiqua"/>
        </w:rPr>
        <w:t xml:space="preserve">                                                                                                                 </w:t>
      </w:r>
      <w:r w:rsidR="00F8404D" w:rsidRPr="000F1A77">
        <w:rPr>
          <w:rFonts w:ascii="Book Antiqua" w:hAnsi="Book Antiqua"/>
        </w:rPr>
        <w:t>7</w:t>
      </w:r>
      <w:r w:rsidR="00915726">
        <w:rPr>
          <w:rFonts w:ascii="Book Antiqua" w:hAnsi="Book Antiqua"/>
        </w:rPr>
        <w:t>ma</w:t>
      </w:r>
      <w:r w:rsidRPr="000F1A77">
        <w:rPr>
          <w:rFonts w:ascii="Book Antiqua" w:hAnsi="Book Antiqua"/>
        </w:rPr>
        <w:t>. Sesión</w:t>
      </w:r>
    </w:p>
    <w:p w14:paraId="73FF96D0" w14:textId="0B3861B9" w:rsidR="00695E3F" w:rsidRPr="000F1A77" w:rsidRDefault="00C65E6E" w:rsidP="00C65E6E">
      <w:pPr>
        <w:pStyle w:val="Textoindependiente"/>
        <w:suppressLineNumbers/>
        <w:tabs>
          <w:tab w:val="left" w:pos="8981"/>
        </w:tabs>
        <w:spacing w:before="0" w:line="311" w:lineRule="exact"/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="003F1D89" w:rsidRPr="000F1A77">
        <w:rPr>
          <w:rFonts w:ascii="Book Antiqua" w:hAnsi="Book Antiqua"/>
        </w:rPr>
        <w:t>Legislativa</w:t>
      </w:r>
      <w:r w:rsidR="003F1D89" w:rsidRPr="000F1A77">
        <w:rPr>
          <w:rFonts w:ascii="Book Antiqua" w:hAnsi="Book Antiqua"/>
        </w:rPr>
        <w:tab/>
        <w:t>Ordinaria</w:t>
      </w:r>
    </w:p>
    <w:p w14:paraId="2F49971C" w14:textId="77777777" w:rsidR="00695E3F" w:rsidRPr="000F1A77" w:rsidRDefault="00695E3F" w:rsidP="00634689">
      <w:pPr>
        <w:pStyle w:val="Textoindependiente"/>
        <w:suppressLineNumbers/>
        <w:spacing w:before="12"/>
        <w:rPr>
          <w:rFonts w:ascii="Book Antiqua" w:hAnsi="Book Antiqua"/>
          <w:sz w:val="18"/>
        </w:rPr>
      </w:pPr>
    </w:p>
    <w:p w14:paraId="3536D63A" w14:textId="29A0D8E4" w:rsidR="00695E3F" w:rsidRPr="000F1A77" w:rsidRDefault="00BE0E43" w:rsidP="00231900">
      <w:pPr>
        <w:suppressLineNumbers/>
        <w:spacing w:before="1"/>
        <w:ind w:left="2287" w:right="1711"/>
        <w:rPr>
          <w:rFonts w:ascii="Book Antiqua" w:hAnsi="Book Antiqua"/>
          <w:b/>
          <w:sz w:val="36"/>
        </w:rPr>
      </w:pPr>
      <w:r w:rsidRPr="000F1A77">
        <w:rPr>
          <w:rFonts w:ascii="Book Antiqua" w:hAnsi="Book Antiqua"/>
          <w:b/>
          <w:sz w:val="36"/>
        </w:rPr>
        <w:t>CÁMARA DE REPRESENTANTES</w:t>
      </w:r>
    </w:p>
    <w:p w14:paraId="13C54CBC" w14:textId="631B248D" w:rsidR="00695E3F" w:rsidRPr="000F1A77" w:rsidRDefault="00231900" w:rsidP="00C65E6E">
      <w:pPr>
        <w:pStyle w:val="Ttulo"/>
        <w:suppressLineNumbers/>
        <w:ind w:left="2552"/>
        <w:rPr>
          <w:rFonts w:ascii="Book Antiqua" w:hAnsi="Book Antiqua"/>
        </w:rPr>
      </w:pPr>
      <w:r w:rsidRPr="000F1A77">
        <w:rPr>
          <w:rFonts w:ascii="Book Antiqua" w:hAnsi="Book Antiqua"/>
        </w:rPr>
        <w:t xml:space="preserve">        </w:t>
      </w:r>
      <w:r w:rsidR="008A3625" w:rsidRPr="000F1A77">
        <w:rPr>
          <w:rFonts w:ascii="Book Antiqua" w:hAnsi="Book Antiqua"/>
        </w:rPr>
        <w:t>P</w:t>
      </w:r>
      <w:r w:rsidR="003F1D89" w:rsidRPr="000F1A77">
        <w:rPr>
          <w:rFonts w:ascii="Book Antiqua" w:hAnsi="Book Antiqua"/>
        </w:rPr>
        <w:t>.</w:t>
      </w:r>
      <w:r w:rsidR="003F1D89" w:rsidRPr="000F1A77">
        <w:rPr>
          <w:rFonts w:ascii="Book Antiqua" w:hAnsi="Book Antiqua"/>
          <w:spacing w:val="1"/>
        </w:rPr>
        <w:t xml:space="preserve"> </w:t>
      </w:r>
      <w:r w:rsidR="003F1D89" w:rsidRPr="000F1A77">
        <w:rPr>
          <w:rFonts w:ascii="Book Antiqua" w:hAnsi="Book Antiqua"/>
        </w:rPr>
        <w:t>de</w:t>
      </w:r>
      <w:r w:rsidR="00BE0E43" w:rsidRPr="000F1A77">
        <w:rPr>
          <w:rFonts w:ascii="Book Antiqua" w:hAnsi="Book Antiqua"/>
        </w:rPr>
        <w:t xml:space="preserve"> la C</w:t>
      </w:r>
      <w:r w:rsidR="003F1D89" w:rsidRPr="000F1A77">
        <w:rPr>
          <w:rFonts w:ascii="Book Antiqua" w:hAnsi="Book Antiqua"/>
        </w:rPr>
        <w:t>.</w:t>
      </w:r>
      <w:r w:rsidR="00F3110E">
        <w:rPr>
          <w:rFonts w:ascii="Book Antiqua" w:hAnsi="Book Antiqua"/>
        </w:rPr>
        <w:t xml:space="preserve"> </w:t>
      </w:r>
      <w:r w:rsidR="00831E19">
        <w:rPr>
          <w:rFonts w:ascii="Book Antiqua" w:hAnsi="Book Antiqua"/>
        </w:rPr>
        <w:t>2002</w:t>
      </w:r>
    </w:p>
    <w:p w14:paraId="131D7DB9" w14:textId="0BB92C26" w:rsidR="00695E3F" w:rsidRPr="000F1A77" w:rsidRDefault="00231900" w:rsidP="00231900">
      <w:pPr>
        <w:pStyle w:val="Textoindependiente"/>
        <w:suppressLineNumbers/>
        <w:spacing w:before="260"/>
        <w:ind w:left="2290" w:right="1711"/>
        <w:rPr>
          <w:rFonts w:ascii="Book Antiqua" w:hAnsi="Book Antiqua"/>
        </w:rPr>
      </w:pPr>
      <w:r w:rsidRPr="000F1A77">
        <w:rPr>
          <w:rFonts w:ascii="Book Antiqua" w:hAnsi="Book Antiqua"/>
        </w:rPr>
        <w:t xml:space="preserve">                                 23 </w:t>
      </w:r>
      <w:r w:rsidR="00E95311" w:rsidRPr="000F1A77">
        <w:rPr>
          <w:rFonts w:ascii="Book Antiqua" w:hAnsi="Book Antiqua"/>
        </w:rPr>
        <w:t xml:space="preserve">DE </w:t>
      </w:r>
      <w:r w:rsidRPr="000F1A77">
        <w:rPr>
          <w:rFonts w:ascii="Book Antiqua" w:hAnsi="Book Antiqua"/>
        </w:rPr>
        <w:t>ENERO</w:t>
      </w:r>
      <w:r w:rsidR="003F1D89" w:rsidRPr="000F1A77">
        <w:rPr>
          <w:rFonts w:ascii="Book Antiqua" w:hAnsi="Book Antiqua"/>
          <w:spacing w:val="-1"/>
        </w:rPr>
        <w:t xml:space="preserve"> </w:t>
      </w:r>
      <w:r w:rsidR="003F1D89" w:rsidRPr="000F1A77">
        <w:rPr>
          <w:rFonts w:ascii="Book Antiqua" w:hAnsi="Book Antiqua"/>
        </w:rPr>
        <w:t>DE 202</w:t>
      </w:r>
      <w:r w:rsidR="00B34616" w:rsidRPr="000F1A77">
        <w:rPr>
          <w:rFonts w:ascii="Book Antiqua" w:hAnsi="Book Antiqua"/>
        </w:rPr>
        <w:t>4</w:t>
      </w:r>
    </w:p>
    <w:p w14:paraId="6D6CE93D" w14:textId="77777777" w:rsidR="00695E3F" w:rsidRPr="000F1A77" w:rsidRDefault="00695E3F" w:rsidP="00634689">
      <w:pPr>
        <w:pStyle w:val="Textoindependiente"/>
        <w:suppressLineNumbers/>
        <w:spacing w:before="8"/>
        <w:rPr>
          <w:rFonts w:ascii="Book Antiqua" w:hAnsi="Book Antiqua"/>
          <w:sz w:val="19"/>
        </w:rPr>
      </w:pPr>
    </w:p>
    <w:p w14:paraId="323C2EB4" w14:textId="72666871" w:rsidR="00231900" w:rsidRDefault="003F1D89" w:rsidP="00634689">
      <w:pPr>
        <w:suppressLineNumbers/>
        <w:ind w:left="782"/>
        <w:jc w:val="center"/>
        <w:rPr>
          <w:rFonts w:ascii="Book Antiqua" w:hAnsi="Book Antiqua"/>
          <w:i/>
          <w:iCs/>
          <w:sz w:val="24"/>
        </w:rPr>
      </w:pPr>
      <w:r w:rsidRPr="000F1A77">
        <w:rPr>
          <w:rFonts w:ascii="Book Antiqua" w:hAnsi="Book Antiqua"/>
          <w:sz w:val="24"/>
        </w:rPr>
        <w:t>Presentad</w:t>
      </w:r>
      <w:r w:rsidR="008A3625" w:rsidRPr="000F1A77">
        <w:rPr>
          <w:rFonts w:ascii="Book Antiqua" w:hAnsi="Book Antiqua"/>
          <w:sz w:val="24"/>
        </w:rPr>
        <w:t>o</w:t>
      </w:r>
      <w:r w:rsidRPr="000F1A77">
        <w:rPr>
          <w:rFonts w:ascii="Book Antiqua" w:hAnsi="Book Antiqua"/>
          <w:spacing w:val="-12"/>
          <w:sz w:val="24"/>
        </w:rPr>
        <w:t xml:space="preserve"> </w:t>
      </w:r>
      <w:r w:rsidRPr="000F1A77">
        <w:rPr>
          <w:rFonts w:ascii="Book Antiqua" w:hAnsi="Book Antiqua"/>
          <w:sz w:val="24"/>
        </w:rPr>
        <w:t>por</w:t>
      </w:r>
      <w:r w:rsidRPr="000F1A77">
        <w:rPr>
          <w:rFonts w:ascii="Book Antiqua" w:hAnsi="Book Antiqua"/>
          <w:spacing w:val="-12"/>
          <w:sz w:val="24"/>
        </w:rPr>
        <w:t xml:space="preserve"> </w:t>
      </w:r>
      <w:r w:rsidR="00BE0E43" w:rsidRPr="000F1A77">
        <w:rPr>
          <w:rFonts w:ascii="Book Antiqua" w:hAnsi="Book Antiqua"/>
          <w:sz w:val="24"/>
        </w:rPr>
        <w:t xml:space="preserve">los representantes </w:t>
      </w:r>
      <w:r w:rsidR="00231900" w:rsidRPr="000F1A77">
        <w:rPr>
          <w:rFonts w:ascii="Book Antiqua" w:hAnsi="Book Antiqua"/>
          <w:i/>
          <w:iCs/>
          <w:sz w:val="24"/>
        </w:rPr>
        <w:t>Torres Zamora</w:t>
      </w:r>
      <w:r w:rsidR="00F35CB5">
        <w:rPr>
          <w:rFonts w:ascii="Book Antiqua" w:hAnsi="Book Antiqua"/>
          <w:i/>
          <w:iCs/>
          <w:sz w:val="24"/>
        </w:rPr>
        <w:t xml:space="preserve"> y</w:t>
      </w:r>
      <w:r w:rsidR="00231900" w:rsidRPr="000F1A77">
        <w:rPr>
          <w:rFonts w:ascii="Book Antiqua" w:hAnsi="Book Antiqua"/>
          <w:i/>
          <w:iCs/>
          <w:sz w:val="24"/>
        </w:rPr>
        <w:t xml:space="preserve"> Ramos Rivera</w:t>
      </w:r>
    </w:p>
    <w:p w14:paraId="3490FDF7" w14:textId="77777777" w:rsidR="00915726" w:rsidRDefault="00915726" w:rsidP="00634689">
      <w:pPr>
        <w:suppressLineNumbers/>
        <w:ind w:left="782"/>
        <w:jc w:val="center"/>
        <w:rPr>
          <w:rFonts w:ascii="Book Antiqua" w:hAnsi="Book Antiqua"/>
          <w:i/>
          <w:iCs/>
          <w:sz w:val="24"/>
        </w:rPr>
      </w:pPr>
    </w:p>
    <w:p w14:paraId="54760FC6" w14:textId="047FF5DC" w:rsidR="00915726" w:rsidRPr="00915726" w:rsidRDefault="00915726" w:rsidP="00634689">
      <w:pPr>
        <w:suppressLineNumbers/>
        <w:ind w:left="782"/>
        <w:jc w:val="center"/>
        <w:rPr>
          <w:rFonts w:ascii="Book Antiqua" w:hAnsi="Book Antiqua"/>
          <w:sz w:val="24"/>
        </w:rPr>
      </w:pPr>
      <w:r w:rsidRPr="00915726">
        <w:rPr>
          <w:rFonts w:ascii="Book Antiqua" w:hAnsi="Book Antiqua"/>
          <w:sz w:val="24"/>
        </w:rPr>
        <w:t>Referido a las Comisiones de Educación, Arte y Cultura; y de Hacienda y Presupuesto</w:t>
      </w:r>
    </w:p>
    <w:p w14:paraId="063CAA7F" w14:textId="102D2236" w:rsidR="00695E3F" w:rsidRPr="000F1A77" w:rsidRDefault="00231900" w:rsidP="00634689">
      <w:pPr>
        <w:suppressLineNumbers/>
        <w:ind w:left="782"/>
        <w:jc w:val="center"/>
        <w:rPr>
          <w:rFonts w:ascii="Book Antiqua" w:hAnsi="Book Antiqua"/>
          <w:i/>
          <w:sz w:val="24"/>
        </w:rPr>
      </w:pPr>
      <w:r w:rsidRPr="000F1A77">
        <w:rPr>
          <w:rFonts w:ascii="Book Antiqua" w:hAnsi="Book Antiqua"/>
          <w:i/>
          <w:iCs/>
          <w:sz w:val="24"/>
        </w:rPr>
        <w:t xml:space="preserve"> </w:t>
      </w:r>
    </w:p>
    <w:p w14:paraId="65CA28C4" w14:textId="77777777" w:rsidR="00695E3F" w:rsidRPr="000F1A77" w:rsidRDefault="00695E3F" w:rsidP="00634689">
      <w:pPr>
        <w:pStyle w:val="Textoindependiente"/>
        <w:suppressLineNumbers/>
        <w:spacing w:before="7"/>
        <w:rPr>
          <w:rFonts w:ascii="Book Antiqua" w:hAnsi="Book Antiqua"/>
          <w:sz w:val="19"/>
        </w:rPr>
      </w:pPr>
    </w:p>
    <w:p w14:paraId="178AD2CE" w14:textId="3EB86FE4" w:rsidR="00695E3F" w:rsidRPr="000F1A77" w:rsidRDefault="008A3625" w:rsidP="00634689">
      <w:pPr>
        <w:suppressLineNumbers/>
        <w:ind w:left="2293" w:right="1711"/>
        <w:jc w:val="center"/>
        <w:rPr>
          <w:rFonts w:ascii="Book Antiqua" w:hAnsi="Book Antiqua"/>
          <w:b/>
          <w:sz w:val="28"/>
        </w:rPr>
      </w:pPr>
      <w:r w:rsidRPr="000F1A77">
        <w:rPr>
          <w:rFonts w:ascii="Book Antiqua" w:hAnsi="Book Antiqua"/>
          <w:b/>
          <w:sz w:val="28"/>
        </w:rPr>
        <w:t>LEY</w:t>
      </w:r>
    </w:p>
    <w:p w14:paraId="43C5D605" w14:textId="3DBE189C" w:rsidR="00695E3F" w:rsidRPr="000F1A77" w:rsidRDefault="003F1D89" w:rsidP="00C65E6E">
      <w:pPr>
        <w:pStyle w:val="Textoindependiente"/>
        <w:suppressLineNumbers/>
        <w:spacing w:before="287" w:line="276" w:lineRule="auto"/>
        <w:ind w:left="567" w:right="119" w:hanging="567"/>
        <w:jc w:val="both"/>
        <w:rPr>
          <w:rFonts w:ascii="Book Antiqua" w:hAnsi="Book Antiqua"/>
        </w:rPr>
      </w:pPr>
      <w:r w:rsidRPr="000F1A77">
        <w:rPr>
          <w:rFonts w:ascii="Book Antiqua" w:hAnsi="Book Antiqua"/>
        </w:rPr>
        <w:t>Para</w:t>
      </w:r>
      <w:r w:rsidR="008A3625" w:rsidRPr="000F1A77">
        <w:rPr>
          <w:rFonts w:ascii="Book Antiqua" w:hAnsi="Book Antiqua"/>
        </w:rPr>
        <w:t xml:space="preserve"> enmendar el Artículo 105 de la Ley 53-2021, conocida como “Ley para Ponerle Fin a la Quiebra de Puerto Rico”, a los fines de aclarar que</w:t>
      </w:r>
      <w:r w:rsidRPr="000F1A77">
        <w:rPr>
          <w:rFonts w:ascii="Book Antiqua" w:hAnsi="Book Antiqua"/>
        </w:rPr>
        <w:t xml:space="preserve"> </w:t>
      </w:r>
      <w:r w:rsidR="008A3625" w:rsidRPr="000F1A77">
        <w:rPr>
          <w:rFonts w:ascii="Book Antiqua" w:hAnsi="Book Antiqua"/>
        </w:rPr>
        <w:t>el total de $500 millones en asignación de fondos para la Universidad de Puerto Rico</w:t>
      </w:r>
      <w:r w:rsidR="00F0749E" w:rsidRPr="000F1A77">
        <w:rPr>
          <w:rFonts w:ascii="Book Antiqua" w:hAnsi="Book Antiqua"/>
        </w:rPr>
        <w:t xml:space="preserve"> </w:t>
      </w:r>
      <w:r w:rsidR="008A3625" w:rsidRPr="000F1A77">
        <w:rPr>
          <w:rFonts w:ascii="Book Antiqua" w:hAnsi="Book Antiqua"/>
        </w:rPr>
        <w:t>serán de uso irrestricto para la operación diaria de la institución</w:t>
      </w:r>
      <w:r w:rsidR="00AD5D7A" w:rsidRPr="000F1A77">
        <w:rPr>
          <w:rFonts w:ascii="Book Antiqua" w:hAnsi="Book Antiqua"/>
        </w:rPr>
        <w:t xml:space="preserve">; y para otros </w:t>
      </w:r>
      <w:r w:rsidR="008A3625" w:rsidRPr="000F1A77">
        <w:rPr>
          <w:rFonts w:ascii="Book Antiqua" w:hAnsi="Book Antiqua"/>
        </w:rPr>
        <w:t>asuntos</w:t>
      </w:r>
      <w:r w:rsidR="00716A9D">
        <w:rPr>
          <w:rFonts w:ascii="Book Antiqua" w:hAnsi="Book Antiqua"/>
        </w:rPr>
        <w:t>.</w:t>
      </w:r>
    </w:p>
    <w:p w14:paraId="7E870BEA" w14:textId="6661FE88" w:rsidR="005A0C30" w:rsidRPr="000F1A77" w:rsidRDefault="005A0C30" w:rsidP="00231900">
      <w:pPr>
        <w:pStyle w:val="Textoindependiente"/>
        <w:suppressLineNumbers/>
        <w:spacing w:before="287" w:line="276" w:lineRule="auto"/>
        <w:ind w:left="1331" w:right="119" w:hanging="632"/>
        <w:jc w:val="center"/>
        <w:rPr>
          <w:rFonts w:ascii="Book Antiqua" w:hAnsi="Book Antiqua"/>
        </w:rPr>
      </w:pPr>
      <w:r w:rsidRPr="000F1A77">
        <w:rPr>
          <w:rFonts w:ascii="Book Antiqua" w:hAnsi="Book Antiqua"/>
        </w:rPr>
        <w:t>EXPOSICIÓN DE MOTIVOS</w:t>
      </w:r>
    </w:p>
    <w:p w14:paraId="44C1EE88" w14:textId="77777777" w:rsidR="0003788C" w:rsidRPr="000F1A77" w:rsidRDefault="0003788C" w:rsidP="00C65E6E">
      <w:pPr>
        <w:pStyle w:val="Textoindependiente"/>
        <w:suppressLineNumbers/>
        <w:spacing w:before="0" w:line="276" w:lineRule="auto"/>
        <w:ind w:right="115" w:firstLine="567"/>
        <w:jc w:val="both"/>
        <w:rPr>
          <w:rFonts w:ascii="Book Antiqua" w:hAnsi="Book Antiqua"/>
        </w:rPr>
      </w:pPr>
    </w:p>
    <w:p w14:paraId="63FC9EC3" w14:textId="77777777" w:rsidR="001A47DD" w:rsidRPr="000F1A77" w:rsidRDefault="00F0749E" w:rsidP="00C65E6E">
      <w:pPr>
        <w:pStyle w:val="Textoindependiente"/>
        <w:suppressLineNumbers/>
        <w:spacing w:before="0" w:line="276" w:lineRule="auto"/>
        <w:ind w:right="115" w:firstLine="567"/>
        <w:jc w:val="both"/>
        <w:rPr>
          <w:rFonts w:ascii="Book Antiqua" w:hAnsi="Book Antiqua"/>
        </w:rPr>
      </w:pPr>
      <w:r w:rsidRPr="000F1A77">
        <w:rPr>
          <w:rFonts w:ascii="Book Antiqua" w:hAnsi="Book Antiqua"/>
        </w:rPr>
        <w:t>El 26 de octubre de 2021 se aprobó la</w:t>
      </w:r>
      <w:r w:rsidR="0003788C" w:rsidRPr="000F1A77">
        <w:rPr>
          <w:rFonts w:ascii="Book Antiqua" w:hAnsi="Book Antiqua"/>
        </w:rPr>
        <w:t xml:space="preserve"> Ley 53-2021,</w:t>
      </w:r>
      <w:r w:rsidRPr="000F1A77">
        <w:rPr>
          <w:rFonts w:ascii="Book Antiqua" w:hAnsi="Book Antiqua"/>
        </w:rPr>
        <w:t xml:space="preserve"> donde</w:t>
      </w:r>
      <w:r w:rsidR="0003788C" w:rsidRPr="000F1A77">
        <w:rPr>
          <w:rFonts w:ascii="Book Antiqua" w:hAnsi="Book Antiqua"/>
        </w:rPr>
        <w:t xml:space="preserve"> el Estado Libre Asociado de Puerto Rico apoyó el Plan y la política pública enfocado en reestablecer la responsabilidad fiscal en Puerto Rico. Una de las aspiraciones de política pública </w:t>
      </w:r>
      <w:r w:rsidRPr="000F1A77">
        <w:rPr>
          <w:rFonts w:ascii="Book Antiqua" w:hAnsi="Book Antiqua"/>
        </w:rPr>
        <w:t>en esta Ley, con el deseo de promover el bienestar del pueblo de Puerto Rico, incluyó el financiamiento por un período de cinco (5) años para la Universidad de Puerto Rico</w:t>
      </w:r>
      <w:r w:rsidR="00694656" w:rsidRPr="000F1A77">
        <w:rPr>
          <w:rFonts w:ascii="Book Antiqua" w:hAnsi="Book Antiqua"/>
        </w:rPr>
        <w:t xml:space="preserve"> (UPR)</w:t>
      </w:r>
      <w:r w:rsidRPr="000F1A77">
        <w:rPr>
          <w:rFonts w:ascii="Book Antiqua" w:hAnsi="Book Antiqua"/>
        </w:rPr>
        <w:t xml:space="preserve">, comenzando el año fiscal 2023 hasta el año fiscal 2027. La intención explícita de esta asignación es conservar la capacidad de la </w:t>
      </w:r>
      <w:r w:rsidR="00694656" w:rsidRPr="000F1A77">
        <w:rPr>
          <w:rFonts w:ascii="Book Antiqua" w:hAnsi="Book Antiqua"/>
        </w:rPr>
        <w:t>institución</w:t>
      </w:r>
      <w:r w:rsidRPr="000F1A77">
        <w:rPr>
          <w:rFonts w:ascii="Book Antiqua" w:hAnsi="Book Antiqua"/>
        </w:rPr>
        <w:t xml:space="preserve"> para llevar a cabo su vital misión educativa</w:t>
      </w:r>
      <w:r w:rsidR="00694656" w:rsidRPr="000F1A77">
        <w:rPr>
          <w:rFonts w:ascii="Book Antiqua" w:hAnsi="Book Antiqua"/>
        </w:rPr>
        <w:t>, garantizar</w:t>
      </w:r>
      <w:r w:rsidRPr="000F1A77">
        <w:rPr>
          <w:rFonts w:ascii="Book Antiqua" w:hAnsi="Book Antiqua"/>
        </w:rPr>
        <w:t xml:space="preserve"> recursos necesarios para </w:t>
      </w:r>
      <w:r w:rsidR="00694656" w:rsidRPr="000F1A77">
        <w:rPr>
          <w:rFonts w:ascii="Book Antiqua" w:hAnsi="Book Antiqua"/>
        </w:rPr>
        <w:t>mantener</w:t>
      </w:r>
      <w:r w:rsidRPr="000F1A77">
        <w:rPr>
          <w:rFonts w:ascii="Book Antiqua" w:hAnsi="Book Antiqua"/>
        </w:rPr>
        <w:t xml:space="preserve"> </w:t>
      </w:r>
      <w:r w:rsidR="00694656" w:rsidRPr="000F1A77">
        <w:rPr>
          <w:rFonts w:ascii="Book Antiqua" w:hAnsi="Book Antiqua"/>
        </w:rPr>
        <w:t>todos sus programas acreditados y, a su vez, lograr un acceso justo para aquellos estudiantes que tengan necesidades económicas, entre otras cosas.</w:t>
      </w:r>
      <w:r w:rsidR="001A47DD" w:rsidRPr="000F1A77">
        <w:rPr>
          <w:rFonts w:ascii="Book Antiqua" w:hAnsi="Book Antiqua"/>
        </w:rPr>
        <w:t xml:space="preserve"> </w:t>
      </w:r>
      <w:r w:rsidR="00694656" w:rsidRPr="000F1A77">
        <w:rPr>
          <w:rFonts w:ascii="Book Antiqua" w:hAnsi="Book Antiqua"/>
        </w:rPr>
        <w:t>Pese a que la intención de la Asamblea Legislativa de Puerto Rico fue garantizar una aportación proveniente del Fondo General para proteger a la UPR durante el proceso de reestructuración de la deuda del Gobierno Central, el lenguaje del Artículo 105 de la Ley 53-2021 requiere de aclaración adicional.</w:t>
      </w:r>
    </w:p>
    <w:p w14:paraId="250600C6" w14:textId="77777777" w:rsidR="00231900" w:rsidRPr="000F1A77" w:rsidRDefault="00231900" w:rsidP="00C65E6E">
      <w:pPr>
        <w:pStyle w:val="Textoindependiente"/>
        <w:suppressLineNumbers/>
        <w:spacing w:before="0" w:line="276" w:lineRule="auto"/>
        <w:ind w:right="115" w:firstLine="567"/>
        <w:jc w:val="both"/>
        <w:rPr>
          <w:rFonts w:ascii="Book Antiqua" w:hAnsi="Book Antiqua"/>
        </w:rPr>
      </w:pPr>
    </w:p>
    <w:p w14:paraId="0FF5F3E3" w14:textId="4900AD8D" w:rsidR="00694656" w:rsidRPr="000F1A77" w:rsidRDefault="00694656" w:rsidP="00C65E6E">
      <w:pPr>
        <w:pStyle w:val="Textoindependiente"/>
        <w:suppressLineNumbers/>
        <w:spacing w:before="0" w:line="276" w:lineRule="auto"/>
        <w:ind w:right="115" w:firstLine="567"/>
        <w:jc w:val="both"/>
        <w:rPr>
          <w:rFonts w:ascii="Book Antiqua" w:hAnsi="Book Antiqua"/>
        </w:rPr>
      </w:pPr>
      <w:r w:rsidRPr="000F1A77">
        <w:rPr>
          <w:rFonts w:ascii="Book Antiqua" w:hAnsi="Book Antiqua"/>
        </w:rPr>
        <w:lastRenderedPageBreak/>
        <w:t xml:space="preserve">Durante los años fiscales 2023 y 2024, la institución recibió una asignación total </w:t>
      </w:r>
      <w:r w:rsidR="001A47DD" w:rsidRPr="000F1A77">
        <w:rPr>
          <w:rFonts w:ascii="Book Antiqua" w:hAnsi="Book Antiqua"/>
        </w:rPr>
        <w:t xml:space="preserve">fija </w:t>
      </w:r>
      <w:r w:rsidRPr="000F1A77">
        <w:rPr>
          <w:rFonts w:ascii="Book Antiqua" w:hAnsi="Book Antiqua"/>
        </w:rPr>
        <w:t>de $500,847,000, cada año</w:t>
      </w:r>
      <w:r w:rsidR="001A47DD" w:rsidRPr="000F1A77">
        <w:rPr>
          <w:rFonts w:ascii="Book Antiqua" w:hAnsi="Book Antiqua"/>
        </w:rPr>
        <w:t>, proveniente del Fondo General del Tesoro de</w:t>
      </w:r>
      <w:r w:rsidR="00B54B7B" w:rsidRPr="000F1A77">
        <w:rPr>
          <w:rFonts w:ascii="Book Antiqua" w:hAnsi="Book Antiqua"/>
        </w:rPr>
        <w:t>l Estado</w:t>
      </w:r>
      <w:r w:rsidRPr="000F1A77">
        <w:rPr>
          <w:rFonts w:ascii="Book Antiqua" w:hAnsi="Book Antiqua"/>
        </w:rPr>
        <w:t>. Sin embargo, solo $441,206,000 fueron estipulados c</w:t>
      </w:r>
      <w:r w:rsidR="001A47DD" w:rsidRPr="000F1A77">
        <w:rPr>
          <w:rFonts w:ascii="Book Antiqua" w:hAnsi="Book Antiqua"/>
        </w:rPr>
        <w:t xml:space="preserve">omo partida para cubrir sus costos operacionales. </w:t>
      </w:r>
      <w:r w:rsidR="00496755" w:rsidRPr="000F1A77">
        <w:rPr>
          <w:rFonts w:ascii="Book Antiqua" w:hAnsi="Book Antiqua"/>
        </w:rPr>
        <w:t>El restante de los fondos fue</w:t>
      </w:r>
      <w:r w:rsidR="001A47DD" w:rsidRPr="000F1A77">
        <w:rPr>
          <w:rFonts w:ascii="Book Antiqua" w:hAnsi="Book Antiqua"/>
        </w:rPr>
        <w:t xml:space="preserve"> redirigido a resoluciones conjuntas o asignaciones especiales, reduciendo significativamente la estabilidad presupuestaria del sistema universitario. </w:t>
      </w:r>
      <w:r w:rsidR="00496755" w:rsidRPr="000F1A77">
        <w:rPr>
          <w:rFonts w:ascii="Book Antiqua" w:hAnsi="Book Antiqua"/>
        </w:rPr>
        <w:t>Así las cosas, $59,641,000 quedaron sin beneficiar directamente gastos operacionales que complementaran la misión educativa, el apoyo y la protección de las acreditaciones institucionales y profesionales</w:t>
      </w:r>
      <w:r w:rsidR="00FC0A29" w:rsidRPr="000F1A77">
        <w:rPr>
          <w:rFonts w:ascii="Book Antiqua" w:hAnsi="Book Antiqua"/>
        </w:rPr>
        <w:t xml:space="preserve">, y el acceso justo para estudiantes con necesidad económica. </w:t>
      </w:r>
    </w:p>
    <w:p w14:paraId="2E1EDC59" w14:textId="77777777" w:rsidR="008A6BBD" w:rsidRPr="000F1A77" w:rsidRDefault="008A6BBD" w:rsidP="00C65E6E">
      <w:pPr>
        <w:pStyle w:val="Textoindependiente"/>
        <w:suppressLineNumbers/>
        <w:spacing w:before="0" w:line="276" w:lineRule="auto"/>
        <w:ind w:right="115" w:firstLine="567"/>
        <w:jc w:val="both"/>
        <w:rPr>
          <w:rFonts w:ascii="Book Antiqua" w:hAnsi="Book Antiqua"/>
        </w:rPr>
      </w:pPr>
    </w:p>
    <w:p w14:paraId="20ED02DD" w14:textId="457B815E" w:rsidR="00FC0A29" w:rsidRPr="000F1A77" w:rsidRDefault="00860DEA" w:rsidP="00C65E6E">
      <w:pPr>
        <w:pStyle w:val="Textoindependiente"/>
        <w:suppressLineNumbers/>
        <w:spacing w:before="0" w:line="276" w:lineRule="auto"/>
        <w:ind w:right="115" w:firstLine="567"/>
        <w:jc w:val="both"/>
        <w:rPr>
          <w:rFonts w:ascii="Book Antiqua" w:hAnsi="Book Antiqua"/>
        </w:rPr>
      </w:pPr>
      <w:r w:rsidRPr="000F1A77">
        <w:rPr>
          <w:rFonts w:ascii="Book Antiqua" w:hAnsi="Book Antiqua"/>
        </w:rPr>
        <w:t>Uno de los ejemplos más claros dentro de</w:t>
      </w:r>
      <w:r w:rsidR="00FC0A29" w:rsidRPr="000F1A77">
        <w:rPr>
          <w:rFonts w:ascii="Book Antiqua" w:hAnsi="Book Antiqua"/>
        </w:rPr>
        <w:t xml:space="preserve"> esta partida, </w:t>
      </w:r>
      <w:r w:rsidRPr="000F1A77">
        <w:rPr>
          <w:rFonts w:ascii="Book Antiqua" w:hAnsi="Book Antiqua"/>
        </w:rPr>
        <w:t xml:space="preserve">es la administración de </w:t>
      </w:r>
      <w:r w:rsidR="00992D82" w:rsidRPr="000F1A77">
        <w:rPr>
          <w:rFonts w:ascii="Book Antiqua" w:hAnsi="Book Antiqua"/>
        </w:rPr>
        <w:t xml:space="preserve">dos fondos cuyo total es de </w:t>
      </w:r>
      <w:r w:rsidR="00FC0A29" w:rsidRPr="000F1A77">
        <w:rPr>
          <w:rFonts w:ascii="Book Antiqua" w:hAnsi="Book Antiqua"/>
        </w:rPr>
        <w:t>$20,021,000</w:t>
      </w:r>
      <w:r w:rsidR="00992D82" w:rsidRPr="000F1A77">
        <w:rPr>
          <w:rFonts w:ascii="Book Antiqua" w:hAnsi="Book Antiqua"/>
        </w:rPr>
        <w:t>. El primero fue autorizado por la Orden Ejecutiva 2017-021</w:t>
      </w:r>
      <w:r w:rsidRPr="000F1A77">
        <w:rPr>
          <w:rFonts w:ascii="Book Antiqua" w:hAnsi="Book Antiqua"/>
        </w:rPr>
        <w:t xml:space="preserve"> </w:t>
      </w:r>
      <w:r w:rsidR="00992D82" w:rsidRPr="000F1A77">
        <w:rPr>
          <w:rFonts w:ascii="Book Antiqua" w:hAnsi="Book Antiqua"/>
        </w:rPr>
        <w:t xml:space="preserve">y </w:t>
      </w:r>
      <w:r w:rsidR="00FC0A29" w:rsidRPr="000F1A77">
        <w:rPr>
          <w:rFonts w:ascii="Book Antiqua" w:hAnsi="Book Antiqua"/>
        </w:rPr>
        <w:t>destinado a servicios técnicos</w:t>
      </w:r>
      <w:r w:rsidRPr="000F1A77">
        <w:rPr>
          <w:rFonts w:ascii="Book Antiqua" w:hAnsi="Book Antiqua"/>
        </w:rPr>
        <w:t xml:space="preserve"> y</w:t>
      </w:r>
      <w:r w:rsidR="00FC0A29" w:rsidRPr="000F1A77">
        <w:rPr>
          <w:rFonts w:ascii="Book Antiqua" w:hAnsi="Book Antiqua"/>
        </w:rPr>
        <w:t xml:space="preserve"> seminarios</w:t>
      </w:r>
      <w:r w:rsidR="00992D82" w:rsidRPr="000F1A77">
        <w:rPr>
          <w:rFonts w:ascii="Book Antiqua" w:hAnsi="Book Antiqua"/>
        </w:rPr>
        <w:t xml:space="preserve"> para funcionarios de gobierno con una disponibilidad de $10,000,000. El segundo consiste en $10,021,000 para </w:t>
      </w:r>
      <w:r w:rsidR="00FC0A29" w:rsidRPr="000F1A77">
        <w:rPr>
          <w:rFonts w:ascii="Book Antiqua" w:hAnsi="Book Antiqua"/>
        </w:rPr>
        <w:t>entrenamientos dirigidos hacia maestros y directores del Departamento de Educación de Puerto Rico</w:t>
      </w:r>
      <w:r w:rsidR="00992D82" w:rsidRPr="000F1A77">
        <w:rPr>
          <w:rFonts w:ascii="Book Antiqua" w:hAnsi="Book Antiqua"/>
        </w:rPr>
        <w:t xml:space="preserve"> (DEPR)</w:t>
      </w:r>
      <w:r w:rsidR="00FC0A29" w:rsidRPr="000F1A77">
        <w:rPr>
          <w:rFonts w:ascii="Book Antiqua" w:hAnsi="Book Antiqua"/>
        </w:rPr>
        <w:t xml:space="preserve">. </w:t>
      </w:r>
      <w:r w:rsidR="005C472E" w:rsidRPr="000F1A77">
        <w:rPr>
          <w:rFonts w:ascii="Book Antiqua" w:hAnsi="Book Antiqua"/>
        </w:rPr>
        <w:t>El diseño de</w:t>
      </w:r>
      <w:r w:rsidR="00A425C4" w:rsidRPr="000F1A77">
        <w:rPr>
          <w:rFonts w:ascii="Book Antiqua" w:hAnsi="Book Antiqua"/>
        </w:rPr>
        <w:t xml:space="preserve"> est</w:t>
      </w:r>
      <w:r w:rsidR="007359C3" w:rsidRPr="000F1A77">
        <w:rPr>
          <w:rFonts w:ascii="Book Antiqua" w:hAnsi="Book Antiqua"/>
        </w:rPr>
        <w:t>os</w:t>
      </w:r>
      <w:r w:rsidR="00A425C4" w:rsidRPr="000F1A77">
        <w:rPr>
          <w:rFonts w:ascii="Book Antiqua" w:hAnsi="Book Antiqua"/>
        </w:rPr>
        <w:t xml:space="preserve"> fondo</w:t>
      </w:r>
      <w:r w:rsidR="007359C3" w:rsidRPr="000F1A77">
        <w:rPr>
          <w:rFonts w:ascii="Book Antiqua" w:hAnsi="Book Antiqua"/>
        </w:rPr>
        <w:t>s</w:t>
      </w:r>
      <w:r w:rsidR="00A425C4" w:rsidRPr="000F1A77">
        <w:rPr>
          <w:rFonts w:ascii="Book Antiqua" w:hAnsi="Book Antiqua"/>
        </w:rPr>
        <w:t xml:space="preserve"> consiste en el gasto de aproximadamente $8</w:t>
      </w:r>
      <w:r w:rsidR="00992D82" w:rsidRPr="000F1A77">
        <w:rPr>
          <w:rFonts w:ascii="Book Antiqua" w:hAnsi="Book Antiqua"/>
        </w:rPr>
        <w:t xml:space="preserve">,000,000 </w:t>
      </w:r>
      <w:r w:rsidR="00A425C4" w:rsidRPr="000F1A77">
        <w:rPr>
          <w:rFonts w:ascii="Book Antiqua" w:hAnsi="Book Antiqua"/>
        </w:rPr>
        <w:t xml:space="preserve">para que </w:t>
      </w:r>
      <w:r w:rsidR="00C25825" w:rsidRPr="000F1A77">
        <w:rPr>
          <w:rFonts w:ascii="Book Antiqua" w:hAnsi="Book Antiqua"/>
        </w:rPr>
        <w:t>la UPR pueda acceder a los $12,000,000 restantes e incluirlos en la programación presupuestaria. Esto resulta en una restricción adicional que dificulta la planificación presupuestaria y fiscal de la institución.</w:t>
      </w:r>
      <w:r w:rsidR="005C472E" w:rsidRPr="000F1A77">
        <w:rPr>
          <w:rFonts w:ascii="Book Antiqua" w:hAnsi="Book Antiqua"/>
        </w:rPr>
        <w:t xml:space="preserve"> Además, convierte un programa cuyo propósito original era allegar fondos adicionales a la UPR en un subsidio de la UPR al DE</w:t>
      </w:r>
      <w:r w:rsidR="00992D82" w:rsidRPr="000F1A77">
        <w:rPr>
          <w:rFonts w:ascii="Book Antiqua" w:hAnsi="Book Antiqua"/>
        </w:rPr>
        <w:t>PR</w:t>
      </w:r>
      <w:r w:rsidR="005C472E" w:rsidRPr="000F1A77">
        <w:rPr>
          <w:rFonts w:ascii="Book Antiqua" w:hAnsi="Book Antiqua"/>
        </w:rPr>
        <w:t xml:space="preserve"> y agencias públicas, al incluirse el mismo dentro de la asignación presupuestaria de la UPR. </w:t>
      </w:r>
      <w:r w:rsidR="007359C3" w:rsidRPr="000F1A77">
        <w:rPr>
          <w:rFonts w:ascii="Book Antiqua" w:hAnsi="Book Antiqua"/>
        </w:rPr>
        <w:t xml:space="preserve">De forma análoga a este ejemplo, se incluyen otros programas en el presupuesto del sistema universitario a través de resoluciones conjuntas o leyes especiales, </w:t>
      </w:r>
      <w:r w:rsidR="00992D82" w:rsidRPr="000F1A77">
        <w:rPr>
          <w:rFonts w:ascii="Book Antiqua" w:hAnsi="Book Antiqua"/>
        </w:rPr>
        <w:t>cuyo impacto histórico ha estado principalmente dirigido hacia el pueblo puertorriqueño y no representan un servicio directo a la comunidad universitaria.</w:t>
      </w:r>
    </w:p>
    <w:p w14:paraId="0A93E437" w14:textId="77777777" w:rsidR="008A6BBD" w:rsidRPr="000F1A77" w:rsidRDefault="008A6BBD" w:rsidP="00C65E6E">
      <w:pPr>
        <w:pStyle w:val="Textoindependiente"/>
        <w:suppressLineNumbers/>
        <w:spacing w:before="0" w:line="276" w:lineRule="auto"/>
        <w:ind w:right="115" w:firstLine="567"/>
        <w:jc w:val="both"/>
        <w:rPr>
          <w:rFonts w:ascii="Book Antiqua" w:hAnsi="Book Antiqua"/>
        </w:rPr>
      </w:pPr>
    </w:p>
    <w:p w14:paraId="51CEB4A2" w14:textId="621995C7" w:rsidR="00D10C1A" w:rsidRPr="000F1A77" w:rsidRDefault="00A425C4" w:rsidP="00C65E6E">
      <w:pPr>
        <w:pStyle w:val="Textoindependiente"/>
        <w:suppressLineNumbers/>
        <w:spacing w:before="0" w:line="276" w:lineRule="auto"/>
        <w:ind w:right="115" w:firstLine="567"/>
        <w:jc w:val="both"/>
        <w:rPr>
          <w:rFonts w:ascii="Book Antiqua" w:hAnsi="Book Antiqua"/>
        </w:rPr>
      </w:pPr>
      <w:r w:rsidRPr="000F1A77">
        <w:rPr>
          <w:rFonts w:ascii="Book Antiqua" w:hAnsi="Book Antiqua"/>
        </w:rPr>
        <w:t>Por otro lado, d</w:t>
      </w:r>
      <w:r w:rsidR="00D10C1A" w:rsidRPr="000F1A77">
        <w:rPr>
          <w:rFonts w:ascii="Book Antiqua" w:hAnsi="Book Antiqua"/>
        </w:rPr>
        <w:t xml:space="preserve">urante ambos años fiscales la Junta de Supervisión y Administración Financiera </w:t>
      </w:r>
      <w:r w:rsidR="00B158AC" w:rsidRPr="000F1A77">
        <w:rPr>
          <w:rFonts w:ascii="Book Antiqua" w:hAnsi="Book Antiqua"/>
        </w:rPr>
        <w:t xml:space="preserve">(JSAF) </w:t>
      </w:r>
      <w:r w:rsidR="00D10C1A" w:rsidRPr="000F1A77">
        <w:rPr>
          <w:rFonts w:ascii="Book Antiqua" w:hAnsi="Book Antiqua"/>
        </w:rPr>
        <w:t>aprobó asignaciones especiales para la UPR, sujetas al cumplimiento de hitos (“</w:t>
      </w:r>
      <w:proofErr w:type="spellStart"/>
      <w:r w:rsidR="00D10C1A" w:rsidRPr="000F1A77">
        <w:rPr>
          <w:rFonts w:ascii="Book Antiqua" w:hAnsi="Book Antiqua"/>
        </w:rPr>
        <w:t>milestones</w:t>
      </w:r>
      <w:proofErr w:type="spellEnd"/>
      <w:r w:rsidR="00D10C1A" w:rsidRPr="000F1A77">
        <w:rPr>
          <w:rFonts w:ascii="Book Antiqua" w:hAnsi="Book Antiqua"/>
        </w:rPr>
        <w:t>”) determinados por el ente fiscal. Para este año fiscal, la asignación especial</w:t>
      </w:r>
      <w:r w:rsidR="00B158AC" w:rsidRPr="000F1A77">
        <w:rPr>
          <w:rFonts w:ascii="Book Antiqua" w:hAnsi="Book Antiqua"/>
        </w:rPr>
        <w:t xml:space="preserve"> fue de </w:t>
      </w:r>
      <w:r w:rsidR="00D10C1A" w:rsidRPr="000F1A77">
        <w:rPr>
          <w:rFonts w:ascii="Book Antiqua" w:hAnsi="Book Antiqua"/>
        </w:rPr>
        <w:t>$102,000,000</w:t>
      </w:r>
      <w:r w:rsidR="00B158AC" w:rsidRPr="000F1A77">
        <w:rPr>
          <w:rFonts w:ascii="Book Antiqua" w:hAnsi="Book Antiqua"/>
        </w:rPr>
        <w:t xml:space="preserve">. De acuerdo con la certificación presupuestaria, la UPR y la JSAF establecerían metas, objetivos e hitos dirigidos hacia la excelencia académica, desarrollo económico y responsabilidad financiera. Sin embargo, pese a la colaboración de la gerencia universitaria y tras concluir la primera mitad del año fiscal, al momento no hay una base definida de cuáles son los requisitos que tiene que cumplir la </w:t>
      </w:r>
      <w:r w:rsidR="00290015" w:rsidRPr="000F1A77">
        <w:rPr>
          <w:rFonts w:ascii="Book Antiqua" w:hAnsi="Book Antiqua"/>
        </w:rPr>
        <w:t>institución para lograr acceso a los fondos. Esto crea un escenario de incertidumbre en el cumplimiento de la política pública sobre el sistema universitario estipulado en la Ley 53-2021</w:t>
      </w:r>
      <w:r w:rsidRPr="000F1A77">
        <w:rPr>
          <w:rFonts w:ascii="Book Antiqua" w:hAnsi="Book Antiqua"/>
        </w:rPr>
        <w:t>, puesto que $43,000,000 de esta asignación especial fueron consignados en apoyo a la gestión operacional, pero tampoco han sido liberados</w:t>
      </w:r>
      <w:r w:rsidR="00290015" w:rsidRPr="000F1A77">
        <w:rPr>
          <w:rFonts w:ascii="Book Antiqua" w:hAnsi="Book Antiqua"/>
        </w:rPr>
        <w:t>.</w:t>
      </w:r>
    </w:p>
    <w:p w14:paraId="5CFA54AA" w14:textId="77777777" w:rsidR="008A6BBD" w:rsidRPr="000F1A77" w:rsidRDefault="008A6BBD" w:rsidP="00C65E6E">
      <w:pPr>
        <w:pStyle w:val="Textoindependiente"/>
        <w:suppressLineNumbers/>
        <w:spacing w:before="0" w:line="276" w:lineRule="auto"/>
        <w:ind w:right="115" w:firstLine="567"/>
        <w:jc w:val="both"/>
        <w:rPr>
          <w:rFonts w:ascii="Book Antiqua" w:hAnsi="Book Antiqua"/>
        </w:rPr>
      </w:pPr>
    </w:p>
    <w:p w14:paraId="7AFCD127" w14:textId="194A931C" w:rsidR="00290015" w:rsidRPr="000F1A77" w:rsidRDefault="00290015" w:rsidP="00C65E6E">
      <w:pPr>
        <w:pStyle w:val="Textoindependiente"/>
        <w:suppressLineNumbers/>
        <w:spacing w:before="0" w:line="276" w:lineRule="auto"/>
        <w:ind w:right="115" w:firstLine="567"/>
        <w:jc w:val="both"/>
        <w:rPr>
          <w:rFonts w:ascii="Book Antiqua" w:hAnsi="Book Antiqua"/>
        </w:rPr>
      </w:pPr>
      <w:r w:rsidRPr="000F1A77">
        <w:rPr>
          <w:rFonts w:ascii="Book Antiqua" w:hAnsi="Book Antiqua"/>
        </w:rPr>
        <w:t xml:space="preserve">Por tanto, resulta indispensable aclarar </w:t>
      </w:r>
      <w:r w:rsidR="00A425C4" w:rsidRPr="000F1A77">
        <w:rPr>
          <w:rFonts w:ascii="Book Antiqua" w:hAnsi="Book Antiqua"/>
        </w:rPr>
        <w:t xml:space="preserve">que los fondos provenientes del Fondo General del Tesoro del Estado dispuestos a través del Artículo 105 de la Ley 53-2021 serán en su </w:t>
      </w:r>
      <w:r w:rsidR="00A425C4" w:rsidRPr="000F1A77">
        <w:rPr>
          <w:rFonts w:ascii="Book Antiqua" w:hAnsi="Book Antiqua"/>
        </w:rPr>
        <w:lastRenderedPageBreak/>
        <w:t>totalidad de uso irrestricto para ga</w:t>
      </w:r>
      <w:r w:rsidR="005C472E" w:rsidRPr="000F1A77">
        <w:rPr>
          <w:rFonts w:ascii="Book Antiqua" w:hAnsi="Book Antiqua"/>
        </w:rPr>
        <w:t>rantizar la</w:t>
      </w:r>
      <w:r w:rsidR="00A425C4" w:rsidRPr="000F1A77">
        <w:rPr>
          <w:rFonts w:ascii="Book Antiqua" w:hAnsi="Book Antiqua"/>
        </w:rPr>
        <w:t xml:space="preserve"> operaci</w:t>
      </w:r>
      <w:r w:rsidR="005C472E" w:rsidRPr="000F1A77">
        <w:rPr>
          <w:rFonts w:ascii="Book Antiqua" w:hAnsi="Book Antiqua"/>
        </w:rPr>
        <w:t>ón</w:t>
      </w:r>
      <w:r w:rsidR="00A425C4" w:rsidRPr="000F1A77">
        <w:rPr>
          <w:rFonts w:ascii="Book Antiqua" w:hAnsi="Book Antiqua"/>
        </w:rPr>
        <w:t xml:space="preserve"> de la UPR.</w:t>
      </w:r>
    </w:p>
    <w:p w14:paraId="467F7A42" w14:textId="77777777" w:rsidR="0034359B" w:rsidRPr="000F1A77" w:rsidRDefault="0034359B" w:rsidP="00231900">
      <w:pPr>
        <w:pStyle w:val="Textoindependiente"/>
        <w:suppressLineNumbers/>
        <w:spacing w:before="0" w:line="276" w:lineRule="auto"/>
        <w:ind w:left="706" w:right="115" w:firstLine="720"/>
        <w:jc w:val="both"/>
        <w:rPr>
          <w:rFonts w:ascii="Book Antiqua" w:hAnsi="Book Antiqua"/>
        </w:rPr>
      </w:pPr>
    </w:p>
    <w:p w14:paraId="5982730B" w14:textId="0D271DCD" w:rsidR="0084336A" w:rsidRPr="000F1A77" w:rsidRDefault="00D10C1A" w:rsidP="00231900">
      <w:pPr>
        <w:pStyle w:val="Textoindependiente"/>
        <w:suppressLineNumbers/>
        <w:spacing w:before="12" w:line="360" w:lineRule="auto"/>
        <w:rPr>
          <w:rFonts w:ascii="Book Antiqua" w:hAnsi="Book Antiqua"/>
          <w:iCs/>
        </w:rPr>
      </w:pPr>
      <w:r w:rsidRPr="000F1A77">
        <w:rPr>
          <w:rFonts w:ascii="Book Antiqua" w:hAnsi="Book Antiqua"/>
          <w:iCs/>
        </w:rPr>
        <w:t xml:space="preserve"> </w:t>
      </w:r>
      <w:r w:rsidR="00AC4C89" w:rsidRPr="000F1A77">
        <w:rPr>
          <w:rFonts w:ascii="Book Antiqua" w:hAnsi="Book Antiqua"/>
          <w:i/>
          <w:w w:val="115"/>
        </w:rPr>
        <w:t>DECRÉTASE</w:t>
      </w:r>
      <w:r w:rsidR="003F1D89" w:rsidRPr="000F1A77">
        <w:rPr>
          <w:rFonts w:ascii="Book Antiqua" w:hAnsi="Book Antiqua"/>
          <w:i/>
          <w:spacing w:val="-7"/>
          <w:w w:val="115"/>
        </w:rPr>
        <w:t xml:space="preserve"> </w:t>
      </w:r>
      <w:r w:rsidR="003F1D89" w:rsidRPr="000F1A77">
        <w:rPr>
          <w:rFonts w:ascii="Book Antiqua" w:hAnsi="Book Antiqua"/>
          <w:i/>
          <w:w w:val="115"/>
        </w:rPr>
        <w:t>POR</w:t>
      </w:r>
      <w:r w:rsidR="003F1D89" w:rsidRPr="000F1A77">
        <w:rPr>
          <w:rFonts w:ascii="Book Antiqua" w:hAnsi="Book Antiqua"/>
          <w:i/>
          <w:spacing w:val="-7"/>
          <w:w w:val="115"/>
        </w:rPr>
        <w:t xml:space="preserve"> </w:t>
      </w:r>
      <w:r w:rsidR="003F1D89" w:rsidRPr="000F1A77">
        <w:rPr>
          <w:rFonts w:ascii="Book Antiqua" w:hAnsi="Book Antiqua"/>
          <w:i/>
          <w:w w:val="115"/>
        </w:rPr>
        <w:t>LA</w:t>
      </w:r>
      <w:r w:rsidR="003F1D89" w:rsidRPr="000F1A77">
        <w:rPr>
          <w:rFonts w:ascii="Book Antiqua" w:hAnsi="Book Antiqua"/>
          <w:i/>
          <w:spacing w:val="-9"/>
          <w:w w:val="115"/>
        </w:rPr>
        <w:t xml:space="preserve"> </w:t>
      </w:r>
      <w:r w:rsidR="003F1D89" w:rsidRPr="000F1A77">
        <w:rPr>
          <w:rFonts w:ascii="Book Antiqua" w:hAnsi="Book Antiqua"/>
          <w:i/>
          <w:w w:val="115"/>
        </w:rPr>
        <w:t>ASAMBLEA</w:t>
      </w:r>
      <w:r w:rsidR="003F1D89" w:rsidRPr="000F1A77">
        <w:rPr>
          <w:rFonts w:ascii="Book Antiqua" w:hAnsi="Book Antiqua"/>
          <w:i/>
          <w:spacing w:val="-8"/>
          <w:w w:val="115"/>
        </w:rPr>
        <w:t xml:space="preserve"> </w:t>
      </w:r>
      <w:r w:rsidR="003F1D89" w:rsidRPr="000F1A77">
        <w:rPr>
          <w:rFonts w:ascii="Book Antiqua" w:hAnsi="Book Antiqua"/>
          <w:i/>
          <w:w w:val="115"/>
        </w:rPr>
        <w:t>LEGISLATIVA</w:t>
      </w:r>
      <w:r w:rsidR="003F1D89" w:rsidRPr="000F1A77">
        <w:rPr>
          <w:rFonts w:ascii="Book Antiqua" w:hAnsi="Book Antiqua"/>
          <w:i/>
          <w:spacing w:val="-7"/>
          <w:w w:val="115"/>
        </w:rPr>
        <w:t xml:space="preserve"> </w:t>
      </w:r>
      <w:r w:rsidR="003F1D89" w:rsidRPr="000F1A77">
        <w:rPr>
          <w:rFonts w:ascii="Book Antiqua" w:hAnsi="Book Antiqua"/>
          <w:i/>
          <w:w w:val="115"/>
        </w:rPr>
        <w:t>DE</w:t>
      </w:r>
      <w:r w:rsidR="003F1D89" w:rsidRPr="000F1A77">
        <w:rPr>
          <w:rFonts w:ascii="Book Antiqua" w:hAnsi="Book Antiqua"/>
          <w:i/>
          <w:spacing w:val="-6"/>
          <w:w w:val="115"/>
        </w:rPr>
        <w:t xml:space="preserve"> </w:t>
      </w:r>
      <w:r w:rsidR="003F1D89" w:rsidRPr="000F1A77">
        <w:rPr>
          <w:rFonts w:ascii="Book Antiqua" w:hAnsi="Book Antiqua"/>
          <w:i/>
          <w:w w:val="115"/>
        </w:rPr>
        <w:t>PUERTO</w:t>
      </w:r>
      <w:r w:rsidR="003F1D89" w:rsidRPr="000F1A77">
        <w:rPr>
          <w:rFonts w:ascii="Book Antiqua" w:hAnsi="Book Antiqua"/>
          <w:i/>
          <w:spacing w:val="-7"/>
          <w:w w:val="115"/>
        </w:rPr>
        <w:t xml:space="preserve"> </w:t>
      </w:r>
      <w:r w:rsidR="003F1D89" w:rsidRPr="000F1A77">
        <w:rPr>
          <w:rFonts w:ascii="Book Antiqua" w:hAnsi="Book Antiqua"/>
          <w:i/>
          <w:w w:val="115"/>
        </w:rPr>
        <w:t>RICO</w:t>
      </w:r>
      <w:r w:rsidR="003F1D89" w:rsidRPr="000F1A77">
        <w:rPr>
          <w:rFonts w:ascii="Book Antiqua" w:hAnsi="Book Antiqua"/>
          <w:iCs/>
          <w:w w:val="115"/>
        </w:rPr>
        <w:t>:</w:t>
      </w:r>
    </w:p>
    <w:p w14:paraId="08FB2737" w14:textId="6168D871" w:rsidR="00231900" w:rsidRPr="000F1A77" w:rsidRDefault="003F1D89" w:rsidP="00C65E6E">
      <w:pPr>
        <w:tabs>
          <w:tab w:val="left" w:pos="1420"/>
          <w:tab w:val="left" w:pos="1421"/>
        </w:tabs>
        <w:spacing w:line="480" w:lineRule="auto"/>
        <w:ind w:left="567" w:firstLine="567"/>
        <w:jc w:val="both"/>
        <w:rPr>
          <w:rFonts w:ascii="Book Antiqua" w:hAnsi="Book Antiqua"/>
          <w:sz w:val="24"/>
          <w:szCs w:val="24"/>
        </w:rPr>
      </w:pPr>
      <w:r w:rsidRPr="000F1A77">
        <w:rPr>
          <w:rFonts w:ascii="Book Antiqua" w:hAnsi="Book Antiqua"/>
          <w:sz w:val="24"/>
          <w:szCs w:val="24"/>
        </w:rPr>
        <w:t>Sección</w:t>
      </w:r>
      <w:r w:rsidRPr="000F1A77">
        <w:rPr>
          <w:rFonts w:ascii="Book Antiqua" w:hAnsi="Book Antiqua"/>
          <w:spacing w:val="22"/>
          <w:sz w:val="24"/>
          <w:szCs w:val="24"/>
        </w:rPr>
        <w:t xml:space="preserve"> </w:t>
      </w:r>
      <w:r w:rsidRPr="000F1A77">
        <w:rPr>
          <w:rFonts w:ascii="Book Antiqua" w:hAnsi="Book Antiqua"/>
          <w:sz w:val="24"/>
          <w:szCs w:val="24"/>
        </w:rPr>
        <w:t>1.–</w:t>
      </w:r>
      <w:r w:rsidR="00AD5D7A" w:rsidRPr="000F1A77">
        <w:rPr>
          <w:rFonts w:ascii="Book Antiqua" w:hAnsi="Book Antiqua"/>
          <w:sz w:val="24"/>
          <w:szCs w:val="24"/>
        </w:rPr>
        <w:t xml:space="preserve">Se </w:t>
      </w:r>
      <w:r w:rsidR="00F4185B" w:rsidRPr="000F1A77">
        <w:rPr>
          <w:rFonts w:ascii="Book Antiqua" w:hAnsi="Book Antiqua"/>
          <w:sz w:val="24"/>
          <w:szCs w:val="24"/>
        </w:rPr>
        <w:t>enmienda el Artículo 105 de la Ley 53-2021, conocida como “Ley para Ponerle Fin a la Quiebra de Puerto Rico”, para que lea como sigue:</w:t>
      </w:r>
    </w:p>
    <w:p w14:paraId="66958A14" w14:textId="77777777" w:rsidR="002C771B" w:rsidRPr="000F1A77" w:rsidRDefault="00F4185B" w:rsidP="00C65E6E">
      <w:pPr>
        <w:tabs>
          <w:tab w:val="left" w:pos="1420"/>
          <w:tab w:val="left" w:pos="1421"/>
        </w:tabs>
        <w:spacing w:line="480" w:lineRule="auto"/>
        <w:ind w:left="567" w:firstLine="567"/>
        <w:jc w:val="both"/>
        <w:rPr>
          <w:rFonts w:ascii="Book Antiqua" w:hAnsi="Book Antiqua"/>
          <w:sz w:val="24"/>
          <w:szCs w:val="24"/>
        </w:rPr>
      </w:pPr>
      <w:r w:rsidRPr="000F1A77">
        <w:rPr>
          <w:rFonts w:ascii="Book Antiqua" w:hAnsi="Book Antiqua"/>
          <w:sz w:val="24"/>
          <w:szCs w:val="24"/>
        </w:rPr>
        <w:t>“ARTÍCULO 105. – FINANCIAMIENTO DE LA UNIVERSIDAD DE PUERTO RICO.</w:t>
      </w:r>
    </w:p>
    <w:p w14:paraId="40431682" w14:textId="44D97CCC" w:rsidR="00475EA5" w:rsidRPr="000F1A77" w:rsidRDefault="00F4185B" w:rsidP="00C65E6E">
      <w:pPr>
        <w:tabs>
          <w:tab w:val="left" w:pos="1420"/>
          <w:tab w:val="left" w:pos="1421"/>
        </w:tabs>
        <w:spacing w:line="480" w:lineRule="auto"/>
        <w:ind w:left="567" w:firstLine="567"/>
        <w:jc w:val="both"/>
        <w:rPr>
          <w:rFonts w:ascii="Book Antiqua" w:hAnsi="Book Antiqua"/>
          <w:sz w:val="24"/>
          <w:szCs w:val="24"/>
        </w:rPr>
      </w:pPr>
      <w:r w:rsidRPr="000F1A77">
        <w:rPr>
          <w:rFonts w:ascii="Book Antiqua" w:hAnsi="Book Antiqua"/>
          <w:sz w:val="24"/>
          <w:szCs w:val="24"/>
        </w:rPr>
        <w:t>Con el propósito de adelantar el objetivo del Gobierno del Estado Libre Asociado de Puerto Rico de conservar la capacidad de la Universidad de Puerto Rico de llevar a cabo su vital misión educativa y asegurar los recursos necesarios para garantizar la acreditación de todos sus programas y lograr un acceso justo para aquellos estudiantes que tengan necesidades económicas, los presupuestos que se le sometan a la Junta incluirán una asignación de fondos para la Universidad de Puerto Rico por un total de $500 millones en cada uno de los cinco años fiscales 2023 al 2027</w:t>
      </w:r>
      <w:r w:rsidR="00F0749E" w:rsidRPr="000F1A77">
        <w:rPr>
          <w:rFonts w:ascii="Book Antiqua" w:hAnsi="Book Antiqua"/>
          <w:sz w:val="24"/>
          <w:szCs w:val="24"/>
        </w:rPr>
        <w:t xml:space="preserve"> </w:t>
      </w:r>
      <w:r w:rsidR="00F0749E" w:rsidRPr="000F1A77">
        <w:rPr>
          <w:rFonts w:ascii="Book Antiqua" w:hAnsi="Book Antiqua"/>
          <w:i/>
          <w:iCs/>
          <w:sz w:val="24"/>
          <w:szCs w:val="24"/>
        </w:rPr>
        <w:t>para uso irrestricto en la operación diaria de la institución</w:t>
      </w:r>
      <w:r w:rsidRPr="000F1A77">
        <w:rPr>
          <w:rFonts w:ascii="Book Antiqua" w:hAnsi="Book Antiqua"/>
          <w:sz w:val="24"/>
          <w:szCs w:val="24"/>
        </w:rPr>
        <w:t xml:space="preserve">, disponiéndose que </w:t>
      </w:r>
      <w:r w:rsidR="00475EA5" w:rsidRPr="000F1A77">
        <w:rPr>
          <w:rFonts w:ascii="Book Antiqua" w:hAnsi="Book Antiqua"/>
          <w:i/>
          <w:iCs/>
          <w:sz w:val="24"/>
          <w:szCs w:val="24"/>
        </w:rPr>
        <w:t>los fondos que administre la Universidad de Puerto Rico asignados mediante resoluciones conjuntas a entidades o servicios, no serán parte del presupuesto base de $500 millones para la operación diaria de la Universidad.  L</w:t>
      </w:r>
      <w:r w:rsidRPr="000F1A77">
        <w:rPr>
          <w:rFonts w:ascii="Book Antiqua" w:hAnsi="Book Antiqua"/>
          <w:sz w:val="24"/>
          <w:szCs w:val="24"/>
        </w:rPr>
        <w:t xml:space="preserve">as asignaciones adicionales por encima de las cantidades asignadas en el plan fiscal del Estado Libre Asociado certificado en abril del 2021 se utilizarán para el mejoramiento de la experiencia y el ambiente estudiantil. </w:t>
      </w:r>
    </w:p>
    <w:p w14:paraId="4D73D3F0" w14:textId="21B0281C" w:rsidR="008A6BBD" w:rsidRPr="000F1A77" w:rsidRDefault="00634689" w:rsidP="00C65E6E">
      <w:pPr>
        <w:tabs>
          <w:tab w:val="left" w:pos="1420"/>
          <w:tab w:val="left" w:pos="1421"/>
        </w:tabs>
        <w:spacing w:line="480" w:lineRule="auto"/>
        <w:ind w:left="567" w:firstLine="567"/>
        <w:jc w:val="both"/>
        <w:rPr>
          <w:rFonts w:ascii="Book Antiqua" w:hAnsi="Book Antiqua"/>
          <w:sz w:val="24"/>
          <w:szCs w:val="24"/>
        </w:rPr>
      </w:pPr>
      <w:r w:rsidRPr="000F1A77">
        <w:rPr>
          <w:rFonts w:ascii="Book Antiqua" w:hAnsi="Book Antiqua"/>
          <w:sz w:val="24"/>
          <w:szCs w:val="24"/>
        </w:rPr>
        <w:t xml:space="preserve">Sección </w:t>
      </w:r>
      <w:r w:rsidR="00F4185B" w:rsidRPr="000F1A77">
        <w:rPr>
          <w:rFonts w:ascii="Book Antiqua" w:hAnsi="Book Antiqua"/>
          <w:sz w:val="24"/>
          <w:szCs w:val="24"/>
        </w:rPr>
        <w:t>2</w:t>
      </w:r>
      <w:r w:rsidR="004B7B34" w:rsidRPr="000F1A77">
        <w:rPr>
          <w:rFonts w:ascii="Book Antiqua" w:hAnsi="Book Antiqua"/>
          <w:sz w:val="24"/>
          <w:szCs w:val="24"/>
        </w:rPr>
        <w:t>.</w:t>
      </w:r>
      <w:r w:rsidR="00C65E6E">
        <w:rPr>
          <w:rFonts w:ascii="Book Antiqua" w:hAnsi="Book Antiqua"/>
          <w:sz w:val="24"/>
          <w:szCs w:val="24"/>
        </w:rPr>
        <w:t>-</w:t>
      </w:r>
      <w:r w:rsidRPr="000F1A77">
        <w:rPr>
          <w:rFonts w:ascii="Book Antiqua" w:hAnsi="Book Antiqua"/>
          <w:sz w:val="24"/>
          <w:szCs w:val="24"/>
        </w:rPr>
        <w:t xml:space="preserve">Esta </w:t>
      </w:r>
      <w:r w:rsidR="008A3625" w:rsidRPr="000F1A77">
        <w:rPr>
          <w:rFonts w:ascii="Book Antiqua" w:hAnsi="Book Antiqua"/>
          <w:sz w:val="24"/>
          <w:szCs w:val="24"/>
        </w:rPr>
        <w:t>Ley comenzará a regir inmediatamente después de</w:t>
      </w:r>
      <w:r w:rsidRPr="000F1A77">
        <w:rPr>
          <w:rFonts w:ascii="Book Antiqua" w:hAnsi="Book Antiqua"/>
          <w:sz w:val="24"/>
          <w:szCs w:val="24"/>
        </w:rPr>
        <w:t xml:space="preserve"> su aprobación.</w:t>
      </w:r>
    </w:p>
    <w:sectPr w:rsidR="008A6BBD" w:rsidRPr="000F1A77" w:rsidSect="008A6BBD">
      <w:headerReference w:type="default" r:id="rId10"/>
      <w:pgSz w:w="12240" w:h="15840"/>
      <w:pgMar w:top="1354" w:right="1325" w:bottom="1296" w:left="810" w:header="734" w:footer="0" w:gutter="0"/>
      <w:lnNumType w:countBy="1" w:distance="14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6265" w14:textId="77777777" w:rsidR="00B34073" w:rsidRDefault="00B34073">
      <w:r>
        <w:separator/>
      </w:r>
    </w:p>
  </w:endnote>
  <w:endnote w:type="continuationSeparator" w:id="0">
    <w:p w14:paraId="54280A11" w14:textId="77777777" w:rsidR="00B34073" w:rsidRDefault="00B3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B471" w14:textId="77777777" w:rsidR="00B34073" w:rsidRDefault="00B34073">
      <w:r>
        <w:separator/>
      </w:r>
    </w:p>
  </w:footnote>
  <w:footnote w:type="continuationSeparator" w:id="0">
    <w:p w14:paraId="3CDCDE94" w14:textId="77777777" w:rsidR="00B34073" w:rsidRDefault="00B3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3422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AB7F4D" w14:textId="4FEEDBE7" w:rsidR="00231900" w:rsidRDefault="00231900">
        <w:pPr>
          <w:pStyle w:val="Encabezado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D87977" w14:textId="66F0938D" w:rsidR="00695E3F" w:rsidRDefault="00695E3F">
    <w:pPr>
      <w:pStyle w:val="Textoindependiente"/>
      <w:spacing w:before="0" w:line="14" w:lineRule="auto"/>
      <w:rPr>
        <w:sz w:val="20"/>
      </w:rPr>
    </w:pPr>
  </w:p>
  <w:p w14:paraId="3A9F98BE" w14:textId="77777777" w:rsidR="00F35CB5" w:rsidRDefault="00F35C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C0E8F"/>
    <w:multiLevelType w:val="hybridMultilevel"/>
    <w:tmpl w:val="5150D514"/>
    <w:lvl w:ilvl="0" w:tplc="E40082F0">
      <w:start w:val="1"/>
      <w:numFmt w:val="decimal"/>
      <w:lvlText w:val="%1"/>
      <w:lvlJc w:val="left"/>
      <w:pPr>
        <w:ind w:left="700" w:hanging="474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B6288DA">
      <w:numFmt w:val="bullet"/>
      <w:lvlText w:val="•"/>
      <w:lvlJc w:val="left"/>
      <w:pPr>
        <w:ind w:left="1648" w:hanging="474"/>
      </w:pPr>
      <w:rPr>
        <w:rFonts w:hint="default"/>
        <w:lang w:val="es-ES" w:eastAsia="en-US" w:bidi="ar-SA"/>
      </w:rPr>
    </w:lvl>
    <w:lvl w:ilvl="2" w:tplc="ABBA7432">
      <w:numFmt w:val="bullet"/>
      <w:lvlText w:val="•"/>
      <w:lvlJc w:val="left"/>
      <w:pPr>
        <w:ind w:left="2596" w:hanging="474"/>
      </w:pPr>
      <w:rPr>
        <w:rFonts w:hint="default"/>
        <w:lang w:val="es-ES" w:eastAsia="en-US" w:bidi="ar-SA"/>
      </w:rPr>
    </w:lvl>
    <w:lvl w:ilvl="3" w:tplc="07BE551E">
      <w:numFmt w:val="bullet"/>
      <w:lvlText w:val="•"/>
      <w:lvlJc w:val="left"/>
      <w:pPr>
        <w:ind w:left="3544" w:hanging="474"/>
      </w:pPr>
      <w:rPr>
        <w:rFonts w:hint="default"/>
        <w:lang w:val="es-ES" w:eastAsia="en-US" w:bidi="ar-SA"/>
      </w:rPr>
    </w:lvl>
    <w:lvl w:ilvl="4" w:tplc="ECD89B02">
      <w:numFmt w:val="bullet"/>
      <w:lvlText w:val="•"/>
      <w:lvlJc w:val="left"/>
      <w:pPr>
        <w:ind w:left="4492" w:hanging="474"/>
      </w:pPr>
      <w:rPr>
        <w:rFonts w:hint="default"/>
        <w:lang w:val="es-ES" w:eastAsia="en-US" w:bidi="ar-SA"/>
      </w:rPr>
    </w:lvl>
    <w:lvl w:ilvl="5" w:tplc="46C455B0">
      <w:numFmt w:val="bullet"/>
      <w:lvlText w:val="•"/>
      <w:lvlJc w:val="left"/>
      <w:pPr>
        <w:ind w:left="5440" w:hanging="474"/>
      </w:pPr>
      <w:rPr>
        <w:rFonts w:hint="default"/>
        <w:lang w:val="es-ES" w:eastAsia="en-US" w:bidi="ar-SA"/>
      </w:rPr>
    </w:lvl>
    <w:lvl w:ilvl="6" w:tplc="A22033CA">
      <w:numFmt w:val="bullet"/>
      <w:lvlText w:val="•"/>
      <w:lvlJc w:val="left"/>
      <w:pPr>
        <w:ind w:left="6388" w:hanging="474"/>
      </w:pPr>
      <w:rPr>
        <w:rFonts w:hint="default"/>
        <w:lang w:val="es-ES" w:eastAsia="en-US" w:bidi="ar-SA"/>
      </w:rPr>
    </w:lvl>
    <w:lvl w:ilvl="7" w:tplc="508CA5A6">
      <w:numFmt w:val="bullet"/>
      <w:lvlText w:val="•"/>
      <w:lvlJc w:val="left"/>
      <w:pPr>
        <w:ind w:left="7336" w:hanging="474"/>
      </w:pPr>
      <w:rPr>
        <w:rFonts w:hint="default"/>
        <w:lang w:val="es-ES" w:eastAsia="en-US" w:bidi="ar-SA"/>
      </w:rPr>
    </w:lvl>
    <w:lvl w:ilvl="8" w:tplc="63AACFE2">
      <w:numFmt w:val="bullet"/>
      <w:lvlText w:val="•"/>
      <w:lvlJc w:val="left"/>
      <w:pPr>
        <w:ind w:left="8284" w:hanging="474"/>
      </w:pPr>
      <w:rPr>
        <w:rFonts w:hint="default"/>
        <w:lang w:val="es-ES" w:eastAsia="en-US" w:bidi="ar-SA"/>
      </w:rPr>
    </w:lvl>
  </w:abstractNum>
  <w:abstractNum w:abstractNumId="1" w15:restartNumberingAfterBreak="0">
    <w:nsid w:val="292366C8"/>
    <w:multiLevelType w:val="hybridMultilevel"/>
    <w:tmpl w:val="98C8B146"/>
    <w:lvl w:ilvl="0" w:tplc="72824BB2">
      <w:start w:val="6"/>
      <w:numFmt w:val="decimal"/>
      <w:lvlText w:val="%1"/>
      <w:lvlJc w:val="left"/>
      <w:pPr>
        <w:ind w:left="1420" w:hanging="1194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00E072C">
      <w:numFmt w:val="bullet"/>
      <w:lvlText w:val="•"/>
      <w:lvlJc w:val="left"/>
      <w:pPr>
        <w:ind w:left="2296" w:hanging="1194"/>
      </w:pPr>
      <w:rPr>
        <w:rFonts w:hint="default"/>
        <w:lang w:val="es-ES" w:eastAsia="en-US" w:bidi="ar-SA"/>
      </w:rPr>
    </w:lvl>
    <w:lvl w:ilvl="2" w:tplc="7152E9BA">
      <w:numFmt w:val="bullet"/>
      <w:lvlText w:val="•"/>
      <w:lvlJc w:val="left"/>
      <w:pPr>
        <w:ind w:left="3172" w:hanging="1194"/>
      </w:pPr>
      <w:rPr>
        <w:rFonts w:hint="default"/>
        <w:lang w:val="es-ES" w:eastAsia="en-US" w:bidi="ar-SA"/>
      </w:rPr>
    </w:lvl>
    <w:lvl w:ilvl="3" w:tplc="199020B0">
      <w:numFmt w:val="bullet"/>
      <w:lvlText w:val="•"/>
      <w:lvlJc w:val="left"/>
      <w:pPr>
        <w:ind w:left="4048" w:hanging="1194"/>
      </w:pPr>
      <w:rPr>
        <w:rFonts w:hint="default"/>
        <w:lang w:val="es-ES" w:eastAsia="en-US" w:bidi="ar-SA"/>
      </w:rPr>
    </w:lvl>
    <w:lvl w:ilvl="4" w:tplc="6C2C401C">
      <w:numFmt w:val="bullet"/>
      <w:lvlText w:val="•"/>
      <w:lvlJc w:val="left"/>
      <w:pPr>
        <w:ind w:left="4924" w:hanging="1194"/>
      </w:pPr>
      <w:rPr>
        <w:rFonts w:hint="default"/>
        <w:lang w:val="es-ES" w:eastAsia="en-US" w:bidi="ar-SA"/>
      </w:rPr>
    </w:lvl>
    <w:lvl w:ilvl="5" w:tplc="D660A8EA">
      <w:numFmt w:val="bullet"/>
      <w:lvlText w:val="•"/>
      <w:lvlJc w:val="left"/>
      <w:pPr>
        <w:ind w:left="5800" w:hanging="1194"/>
      </w:pPr>
      <w:rPr>
        <w:rFonts w:hint="default"/>
        <w:lang w:val="es-ES" w:eastAsia="en-US" w:bidi="ar-SA"/>
      </w:rPr>
    </w:lvl>
    <w:lvl w:ilvl="6" w:tplc="9F5E613E">
      <w:numFmt w:val="bullet"/>
      <w:lvlText w:val="•"/>
      <w:lvlJc w:val="left"/>
      <w:pPr>
        <w:ind w:left="6676" w:hanging="1194"/>
      </w:pPr>
      <w:rPr>
        <w:rFonts w:hint="default"/>
        <w:lang w:val="es-ES" w:eastAsia="en-US" w:bidi="ar-SA"/>
      </w:rPr>
    </w:lvl>
    <w:lvl w:ilvl="7" w:tplc="ED1042D2">
      <w:numFmt w:val="bullet"/>
      <w:lvlText w:val="•"/>
      <w:lvlJc w:val="left"/>
      <w:pPr>
        <w:ind w:left="7552" w:hanging="1194"/>
      </w:pPr>
      <w:rPr>
        <w:rFonts w:hint="default"/>
        <w:lang w:val="es-ES" w:eastAsia="en-US" w:bidi="ar-SA"/>
      </w:rPr>
    </w:lvl>
    <w:lvl w:ilvl="8" w:tplc="EF80A3B6">
      <w:numFmt w:val="bullet"/>
      <w:lvlText w:val="•"/>
      <w:lvlJc w:val="left"/>
      <w:pPr>
        <w:ind w:left="8428" w:hanging="1194"/>
      </w:pPr>
      <w:rPr>
        <w:rFonts w:hint="default"/>
        <w:lang w:val="es-ES" w:eastAsia="en-US" w:bidi="ar-SA"/>
      </w:rPr>
    </w:lvl>
  </w:abstractNum>
  <w:abstractNum w:abstractNumId="2" w15:restartNumberingAfterBreak="0">
    <w:nsid w:val="2CAD3415"/>
    <w:multiLevelType w:val="hybridMultilevel"/>
    <w:tmpl w:val="B1CA2604"/>
    <w:lvl w:ilvl="0" w:tplc="30220DA0">
      <w:start w:val="1"/>
      <w:numFmt w:val="decimal"/>
      <w:lvlText w:val="%1"/>
      <w:lvlJc w:val="left"/>
      <w:pPr>
        <w:ind w:left="706" w:hanging="480"/>
      </w:pPr>
      <w:rPr>
        <w:rFonts w:ascii="Palatino Linotype" w:eastAsia="Palatino Linotype" w:hAnsi="Palatino Linotype" w:cs="Palatino Linotype" w:hint="default"/>
        <w:w w:val="100"/>
        <w:sz w:val="22"/>
        <w:szCs w:val="22"/>
        <w:lang w:val="es-ES" w:eastAsia="en-US" w:bidi="ar-SA"/>
      </w:rPr>
    </w:lvl>
    <w:lvl w:ilvl="1" w:tplc="FFF86818">
      <w:numFmt w:val="bullet"/>
      <w:lvlText w:val="•"/>
      <w:lvlJc w:val="left"/>
      <w:pPr>
        <w:ind w:left="2296" w:hanging="1194"/>
      </w:pPr>
      <w:rPr>
        <w:rFonts w:hint="default"/>
        <w:lang w:val="es-ES" w:eastAsia="en-US" w:bidi="ar-SA"/>
      </w:rPr>
    </w:lvl>
    <w:lvl w:ilvl="2" w:tplc="FEF23640">
      <w:numFmt w:val="bullet"/>
      <w:lvlText w:val="•"/>
      <w:lvlJc w:val="left"/>
      <w:pPr>
        <w:ind w:left="3172" w:hanging="1194"/>
      </w:pPr>
      <w:rPr>
        <w:rFonts w:hint="default"/>
        <w:lang w:val="es-ES" w:eastAsia="en-US" w:bidi="ar-SA"/>
      </w:rPr>
    </w:lvl>
    <w:lvl w:ilvl="3" w:tplc="AF6EB7A8">
      <w:numFmt w:val="bullet"/>
      <w:lvlText w:val="•"/>
      <w:lvlJc w:val="left"/>
      <w:pPr>
        <w:ind w:left="4048" w:hanging="1194"/>
      </w:pPr>
      <w:rPr>
        <w:rFonts w:hint="default"/>
        <w:lang w:val="es-ES" w:eastAsia="en-US" w:bidi="ar-SA"/>
      </w:rPr>
    </w:lvl>
    <w:lvl w:ilvl="4" w:tplc="3B187726">
      <w:numFmt w:val="bullet"/>
      <w:lvlText w:val="•"/>
      <w:lvlJc w:val="left"/>
      <w:pPr>
        <w:ind w:left="4924" w:hanging="1194"/>
      </w:pPr>
      <w:rPr>
        <w:rFonts w:hint="default"/>
        <w:lang w:val="es-ES" w:eastAsia="en-US" w:bidi="ar-SA"/>
      </w:rPr>
    </w:lvl>
    <w:lvl w:ilvl="5" w:tplc="6C2AE2A8">
      <w:numFmt w:val="bullet"/>
      <w:lvlText w:val="•"/>
      <w:lvlJc w:val="left"/>
      <w:pPr>
        <w:ind w:left="5800" w:hanging="1194"/>
      </w:pPr>
      <w:rPr>
        <w:rFonts w:hint="default"/>
        <w:lang w:val="es-ES" w:eastAsia="en-US" w:bidi="ar-SA"/>
      </w:rPr>
    </w:lvl>
    <w:lvl w:ilvl="6" w:tplc="D2B87F2E">
      <w:numFmt w:val="bullet"/>
      <w:lvlText w:val="•"/>
      <w:lvlJc w:val="left"/>
      <w:pPr>
        <w:ind w:left="6676" w:hanging="1194"/>
      </w:pPr>
      <w:rPr>
        <w:rFonts w:hint="default"/>
        <w:lang w:val="es-ES" w:eastAsia="en-US" w:bidi="ar-SA"/>
      </w:rPr>
    </w:lvl>
    <w:lvl w:ilvl="7" w:tplc="6FA6A6FA">
      <w:numFmt w:val="bullet"/>
      <w:lvlText w:val="•"/>
      <w:lvlJc w:val="left"/>
      <w:pPr>
        <w:ind w:left="7552" w:hanging="1194"/>
      </w:pPr>
      <w:rPr>
        <w:rFonts w:hint="default"/>
        <w:lang w:val="es-ES" w:eastAsia="en-US" w:bidi="ar-SA"/>
      </w:rPr>
    </w:lvl>
    <w:lvl w:ilvl="8" w:tplc="4600BF52">
      <w:numFmt w:val="bullet"/>
      <w:lvlText w:val="•"/>
      <w:lvlJc w:val="left"/>
      <w:pPr>
        <w:ind w:left="8428" w:hanging="1194"/>
      </w:pPr>
      <w:rPr>
        <w:rFonts w:hint="default"/>
        <w:lang w:val="es-ES" w:eastAsia="en-US" w:bidi="ar-SA"/>
      </w:rPr>
    </w:lvl>
  </w:abstractNum>
  <w:abstractNum w:abstractNumId="3" w15:restartNumberingAfterBreak="0">
    <w:nsid w:val="2D6F24C5"/>
    <w:multiLevelType w:val="hybridMultilevel"/>
    <w:tmpl w:val="8640C1B8"/>
    <w:lvl w:ilvl="0" w:tplc="5D7CD7F4">
      <w:start w:val="1"/>
      <w:numFmt w:val="decimal"/>
      <w:lvlText w:val="%1"/>
      <w:lvlJc w:val="left"/>
      <w:pPr>
        <w:ind w:left="700" w:hanging="474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2447624">
      <w:numFmt w:val="bullet"/>
      <w:lvlText w:val="•"/>
      <w:lvlJc w:val="left"/>
      <w:pPr>
        <w:ind w:left="1648" w:hanging="474"/>
      </w:pPr>
      <w:rPr>
        <w:rFonts w:hint="default"/>
        <w:lang w:val="es-ES" w:eastAsia="en-US" w:bidi="ar-SA"/>
      </w:rPr>
    </w:lvl>
    <w:lvl w:ilvl="2" w:tplc="B94ACCF6">
      <w:numFmt w:val="bullet"/>
      <w:lvlText w:val="•"/>
      <w:lvlJc w:val="left"/>
      <w:pPr>
        <w:ind w:left="2596" w:hanging="474"/>
      </w:pPr>
      <w:rPr>
        <w:rFonts w:hint="default"/>
        <w:lang w:val="es-ES" w:eastAsia="en-US" w:bidi="ar-SA"/>
      </w:rPr>
    </w:lvl>
    <w:lvl w:ilvl="3" w:tplc="A51EE660">
      <w:numFmt w:val="bullet"/>
      <w:lvlText w:val="•"/>
      <w:lvlJc w:val="left"/>
      <w:pPr>
        <w:ind w:left="3544" w:hanging="474"/>
      </w:pPr>
      <w:rPr>
        <w:rFonts w:hint="default"/>
        <w:lang w:val="es-ES" w:eastAsia="en-US" w:bidi="ar-SA"/>
      </w:rPr>
    </w:lvl>
    <w:lvl w:ilvl="4" w:tplc="88E08C3C">
      <w:numFmt w:val="bullet"/>
      <w:lvlText w:val="•"/>
      <w:lvlJc w:val="left"/>
      <w:pPr>
        <w:ind w:left="4492" w:hanging="474"/>
      </w:pPr>
      <w:rPr>
        <w:rFonts w:hint="default"/>
        <w:lang w:val="es-ES" w:eastAsia="en-US" w:bidi="ar-SA"/>
      </w:rPr>
    </w:lvl>
    <w:lvl w:ilvl="5" w:tplc="45F096E0">
      <w:numFmt w:val="bullet"/>
      <w:lvlText w:val="•"/>
      <w:lvlJc w:val="left"/>
      <w:pPr>
        <w:ind w:left="5440" w:hanging="474"/>
      </w:pPr>
      <w:rPr>
        <w:rFonts w:hint="default"/>
        <w:lang w:val="es-ES" w:eastAsia="en-US" w:bidi="ar-SA"/>
      </w:rPr>
    </w:lvl>
    <w:lvl w:ilvl="6" w:tplc="94E80C42">
      <w:numFmt w:val="bullet"/>
      <w:lvlText w:val="•"/>
      <w:lvlJc w:val="left"/>
      <w:pPr>
        <w:ind w:left="6388" w:hanging="474"/>
      </w:pPr>
      <w:rPr>
        <w:rFonts w:hint="default"/>
        <w:lang w:val="es-ES" w:eastAsia="en-US" w:bidi="ar-SA"/>
      </w:rPr>
    </w:lvl>
    <w:lvl w:ilvl="7" w:tplc="9FA03CA2">
      <w:numFmt w:val="bullet"/>
      <w:lvlText w:val="•"/>
      <w:lvlJc w:val="left"/>
      <w:pPr>
        <w:ind w:left="7336" w:hanging="474"/>
      </w:pPr>
      <w:rPr>
        <w:rFonts w:hint="default"/>
        <w:lang w:val="es-ES" w:eastAsia="en-US" w:bidi="ar-SA"/>
      </w:rPr>
    </w:lvl>
    <w:lvl w:ilvl="8" w:tplc="81FC06D2">
      <w:numFmt w:val="bullet"/>
      <w:lvlText w:val="•"/>
      <w:lvlJc w:val="left"/>
      <w:pPr>
        <w:ind w:left="8284" w:hanging="474"/>
      </w:pPr>
      <w:rPr>
        <w:rFonts w:hint="default"/>
        <w:lang w:val="es-ES" w:eastAsia="en-US" w:bidi="ar-SA"/>
      </w:rPr>
    </w:lvl>
  </w:abstractNum>
  <w:abstractNum w:abstractNumId="4" w15:restartNumberingAfterBreak="0">
    <w:nsid w:val="468F0EFB"/>
    <w:multiLevelType w:val="hybridMultilevel"/>
    <w:tmpl w:val="A98E3D74"/>
    <w:lvl w:ilvl="0" w:tplc="04090019">
      <w:start w:val="1"/>
      <w:numFmt w:val="lowerLetter"/>
      <w:lvlText w:val="%1."/>
      <w:lvlJc w:val="left"/>
      <w:pPr>
        <w:ind w:left="2178" w:hanging="360"/>
      </w:pPr>
    </w:lvl>
    <w:lvl w:ilvl="1" w:tplc="04090019" w:tentative="1">
      <w:start w:val="1"/>
      <w:numFmt w:val="lowerLetter"/>
      <w:lvlText w:val="%2."/>
      <w:lvlJc w:val="left"/>
      <w:pPr>
        <w:ind w:left="2898" w:hanging="360"/>
      </w:pPr>
    </w:lvl>
    <w:lvl w:ilvl="2" w:tplc="0409001B" w:tentative="1">
      <w:start w:val="1"/>
      <w:numFmt w:val="lowerRoman"/>
      <w:lvlText w:val="%3."/>
      <w:lvlJc w:val="right"/>
      <w:pPr>
        <w:ind w:left="3618" w:hanging="180"/>
      </w:pPr>
    </w:lvl>
    <w:lvl w:ilvl="3" w:tplc="0409000F" w:tentative="1">
      <w:start w:val="1"/>
      <w:numFmt w:val="decimal"/>
      <w:lvlText w:val="%4."/>
      <w:lvlJc w:val="left"/>
      <w:pPr>
        <w:ind w:left="4338" w:hanging="360"/>
      </w:pPr>
    </w:lvl>
    <w:lvl w:ilvl="4" w:tplc="04090019" w:tentative="1">
      <w:start w:val="1"/>
      <w:numFmt w:val="lowerLetter"/>
      <w:lvlText w:val="%5."/>
      <w:lvlJc w:val="left"/>
      <w:pPr>
        <w:ind w:left="5058" w:hanging="360"/>
      </w:pPr>
    </w:lvl>
    <w:lvl w:ilvl="5" w:tplc="0409001B" w:tentative="1">
      <w:start w:val="1"/>
      <w:numFmt w:val="lowerRoman"/>
      <w:lvlText w:val="%6."/>
      <w:lvlJc w:val="right"/>
      <w:pPr>
        <w:ind w:left="5778" w:hanging="180"/>
      </w:pPr>
    </w:lvl>
    <w:lvl w:ilvl="6" w:tplc="0409000F" w:tentative="1">
      <w:start w:val="1"/>
      <w:numFmt w:val="decimal"/>
      <w:lvlText w:val="%7."/>
      <w:lvlJc w:val="left"/>
      <w:pPr>
        <w:ind w:left="6498" w:hanging="360"/>
      </w:pPr>
    </w:lvl>
    <w:lvl w:ilvl="7" w:tplc="04090019" w:tentative="1">
      <w:start w:val="1"/>
      <w:numFmt w:val="lowerLetter"/>
      <w:lvlText w:val="%8."/>
      <w:lvlJc w:val="left"/>
      <w:pPr>
        <w:ind w:left="7218" w:hanging="360"/>
      </w:pPr>
    </w:lvl>
    <w:lvl w:ilvl="8" w:tplc="040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5" w15:restartNumberingAfterBreak="0">
    <w:nsid w:val="4E0F6C11"/>
    <w:multiLevelType w:val="hybridMultilevel"/>
    <w:tmpl w:val="2CD42F4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D0A3D6B"/>
    <w:multiLevelType w:val="hybridMultilevel"/>
    <w:tmpl w:val="00A8AD1A"/>
    <w:lvl w:ilvl="0" w:tplc="35CA0CC4">
      <w:start w:val="1"/>
      <w:numFmt w:val="decimal"/>
      <w:lvlText w:val="%1"/>
      <w:lvlJc w:val="left"/>
      <w:pPr>
        <w:ind w:left="700" w:hanging="474"/>
        <w:jc w:val="righ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0B01800">
      <w:numFmt w:val="bullet"/>
      <w:lvlText w:val="•"/>
      <w:lvlJc w:val="left"/>
      <w:pPr>
        <w:ind w:left="1648" w:hanging="474"/>
      </w:pPr>
      <w:rPr>
        <w:rFonts w:hint="default"/>
        <w:lang w:val="es-ES" w:eastAsia="en-US" w:bidi="ar-SA"/>
      </w:rPr>
    </w:lvl>
    <w:lvl w:ilvl="2" w:tplc="247AB50C">
      <w:numFmt w:val="bullet"/>
      <w:lvlText w:val="•"/>
      <w:lvlJc w:val="left"/>
      <w:pPr>
        <w:ind w:left="2596" w:hanging="474"/>
      </w:pPr>
      <w:rPr>
        <w:rFonts w:hint="default"/>
        <w:lang w:val="es-ES" w:eastAsia="en-US" w:bidi="ar-SA"/>
      </w:rPr>
    </w:lvl>
    <w:lvl w:ilvl="3" w:tplc="1C2E8A62">
      <w:numFmt w:val="bullet"/>
      <w:lvlText w:val="•"/>
      <w:lvlJc w:val="left"/>
      <w:pPr>
        <w:ind w:left="3544" w:hanging="474"/>
      </w:pPr>
      <w:rPr>
        <w:rFonts w:hint="default"/>
        <w:lang w:val="es-ES" w:eastAsia="en-US" w:bidi="ar-SA"/>
      </w:rPr>
    </w:lvl>
    <w:lvl w:ilvl="4" w:tplc="3CA28F0A">
      <w:numFmt w:val="bullet"/>
      <w:lvlText w:val="•"/>
      <w:lvlJc w:val="left"/>
      <w:pPr>
        <w:ind w:left="4492" w:hanging="474"/>
      </w:pPr>
      <w:rPr>
        <w:rFonts w:hint="default"/>
        <w:lang w:val="es-ES" w:eastAsia="en-US" w:bidi="ar-SA"/>
      </w:rPr>
    </w:lvl>
    <w:lvl w:ilvl="5" w:tplc="0256D892">
      <w:numFmt w:val="bullet"/>
      <w:lvlText w:val="•"/>
      <w:lvlJc w:val="left"/>
      <w:pPr>
        <w:ind w:left="5440" w:hanging="474"/>
      </w:pPr>
      <w:rPr>
        <w:rFonts w:hint="default"/>
        <w:lang w:val="es-ES" w:eastAsia="en-US" w:bidi="ar-SA"/>
      </w:rPr>
    </w:lvl>
    <w:lvl w:ilvl="6" w:tplc="066EFBF2">
      <w:numFmt w:val="bullet"/>
      <w:lvlText w:val="•"/>
      <w:lvlJc w:val="left"/>
      <w:pPr>
        <w:ind w:left="6388" w:hanging="474"/>
      </w:pPr>
      <w:rPr>
        <w:rFonts w:hint="default"/>
        <w:lang w:val="es-ES" w:eastAsia="en-US" w:bidi="ar-SA"/>
      </w:rPr>
    </w:lvl>
    <w:lvl w:ilvl="7" w:tplc="FA367C76">
      <w:numFmt w:val="bullet"/>
      <w:lvlText w:val="•"/>
      <w:lvlJc w:val="left"/>
      <w:pPr>
        <w:ind w:left="7336" w:hanging="474"/>
      </w:pPr>
      <w:rPr>
        <w:rFonts w:hint="default"/>
        <w:lang w:val="es-ES" w:eastAsia="en-US" w:bidi="ar-SA"/>
      </w:rPr>
    </w:lvl>
    <w:lvl w:ilvl="8" w:tplc="61ECF9A0">
      <w:numFmt w:val="bullet"/>
      <w:lvlText w:val="•"/>
      <w:lvlJc w:val="left"/>
      <w:pPr>
        <w:ind w:left="8284" w:hanging="474"/>
      </w:pPr>
      <w:rPr>
        <w:rFonts w:hint="default"/>
        <w:lang w:val="es-ES" w:eastAsia="en-US" w:bidi="ar-SA"/>
      </w:rPr>
    </w:lvl>
  </w:abstractNum>
  <w:num w:numId="1" w16cid:durableId="703671236">
    <w:abstractNumId w:val="0"/>
  </w:num>
  <w:num w:numId="2" w16cid:durableId="2026007078">
    <w:abstractNumId w:val="6"/>
  </w:num>
  <w:num w:numId="3" w16cid:durableId="1176725233">
    <w:abstractNumId w:val="3"/>
  </w:num>
  <w:num w:numId="4" w16cid:durableId="510027234">
    <w:abstractNumId w:val="1"/>
  </w:num>
  <w:num w:numId="5" w16cid:durableId="748118554">
    <w:abstractNumId w:val="2"/>
  </w:num>
  <w:num w:numId="6" w16cid:durableId="922298849">
    <w:abstractNumId w:val="4"/>
  </w:num>
  <w:num w:numId="7" w16cid:durableId="20146506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3F"/>
    <w:rsid w:val="00013BD8"/>
    <w:rsid w:val="0003788C"/>
    <w:rsid w:val="0005169B"/>
    <w:rsid w:val="00083947"/>
    <w:rsid w:val="000F0240"/>
    <w:rsid w:val="000F1A77"/>
    <w:rsid w:val="00105DE5"/>
    <w:rsid w:val="00124F3A"/>
    <w:rsid w:val="00127383"/>
    <w:rsid w:val="00135047"/>
    <w:rsid w:val="00167505"/>
    <w:rsid w:val="001965AE"/>
    <w:rsid w:val="001A47DD"/>
    <w:rsid w:val="001C1044"/>
    <w:rsid w:val="001D5801"/>
    <w:rsid w:val="0020062B"/>
    <w:rsid w:val="002141FE"/>
    <w:rsid w:val="00216528"/>
    <w:rsid w:val="00231900"/>
    <w:rsid w:val="002830F8"/>
    <w:rsid w:val="00290015"/>
    <w:rsid w:val="002966DD"/>
    <w:rsid w:val="002B2368"/>
    <w:rsid w:val="002C771B"/>
    <w:rsid w:val="002E6DB8"/>
    <w:rsid w:val="002E746E"/>
    <w:rsid w:val="002E76E5"/>
    <w:rsid w:val="00306E62"/>
    <w:rsid w:val="0034359B"/>
    <w:rsid w:val="003A2E1C"/>
    <w:rsid w:val="003D0444"/>
    <w:rsid w:val="003F1D89"/>
    <w:rsid w:val="00401CB2"/>
    <w:rsid w:val="00420E47"/>
    <w:rsid w:val="00441E19"/>
    <w:rsid w:val="00442B91"/>
    <w:rsid w:val="004524E9"/>
    <w:rsid w:val="00454510"/>
    <w:rsid w:val="00457604"/>
    <w:rsid w:val="00475EA5"/>
    <w:rsid w:val="004857FB"/>
    <w:rsid w:val="00496755"/>
    <w:rsid w:val="004B7B34"/>
    <w:rsid w:val="004C3488"/>
    <w:rsid w:val="004E03A9"/>
    <w:rsid w:val="005070C9"/>
    <w:rsid w:val="00517A68"/>
    <w:rsid w:val="00523A60"/>
    <w:rsid w:val="005810D2"/>
    <w:rsid w:val="005A0C30"/>
    <w:rsid w:val="005A7AC6"/>
    <w:rsid w:val="005A7C46"/>
    <w:rsid w:val="005B1838"/>
    <w:rsid w:val="005C472E"/>
    <w:rsid w:val="005F08AD"/>
    <w:rsid w:val="00634689"/>
    <w:rsid w:val="00654F38"/>
    <w:rsid w:val="006563A9"/>
    <w:rsid w:val="006760F7"/>
    <w:rsid w:val="00694656"/>
    <w:rsid w:val="00694CB7"/>
    <w:rsid w:val="00695E3F"/>
    <w:rsid w:val="006A292F"/>
    <w:rsid w:val="006B3421"/>
    <w:rsid w:val="006C460A"/>
    <w:rsid w:val="006D1C94"/>
    <w:rsid w:val="006E39F5"/>
    <w:rsid w:val="00716A9D"/>
    <w:rsid w:val="007359C3"/>
    <w:rsid w:val="00771E13"/>
    <w:rsid w:val="007B0855"/>
    <w:rsid w:val="007D7172"/>
    <w:rsid w:val="00831E19"/>
    <w:rsid w:val="0084336A"/>
    <w:rsid w:val="00860DEA"/>
    <w:rsid w:val="008751DE"/>
    <w:rsid w:val="008A1512"/>
    <w:rsid w:val="008A3625"/>
    <w:rsid w:val="008A6BBD"/>
    <w:rsid w:val="008E5D8C"/>
    <w:rsid w:val="00905E5C"/>
    <w:rsid w:val="00915726"/>
    <w:rsid w:val="00934A28"/>
    <w:rsid w:val="00977BAC"/>
    <w:rsid w:val="00992D82"/>
    <w:rsid w:val="009955A5"/>
    <w:rsid w:val="009C7CB1"/>
    <w:rsid w:val="009F15EB"/>
    <w:rsid w:val="00A232D8"/>
    <w:rsid w:val="00A2700B"/>
    <w:rsid w:val="00A425C4"/>
    <w:rsid w:val="00A51156"/>
    <w:rsid w:val="00A7350A"/>
    <w:rsid w:val="00A81EBB"/>
    <w:rsid w:val="00AA67D1"/>
    <w:rsid w:val="00AC4C89"/>
    <w:rsid w:val="00AD22A8"/>
    <w:rsid w:val="00AD38C8"/>
    <w:rsid w:val="00AD5D7A"/>
    <w:rsid w:val="00AE66F3"/>
    <w:rsid w:val="00B158AC"/>
    <w:rsid w:val="00B16862"/>
    <w:rsid w:val="00B2225D"/>
    <w:rsid w:val="00B34073"/>
    <w:rsid w:val="00B34616"/>
    <w:rsid w:val="00B54B7B"/>
    <w:rsid w:val="00B5665B"/>
    <w:rsid w:val="00B56BA1"/>
    <w:rsid w:val="00B63E6D"/>
    <w:rsid w:val="00BE0E43"/>
    <w:rsid w:val="00BF6783"/>
    <w:rsid w:val="00BF6E41"/>
    <w:rsid w:val="00C050BC"/>
    <w:rsid w:val="00C25825"/>
    <w:rsid w:val="00C322B7"/>
    <w:rsid w:val="00C539AE"/>
    <w:rsid w:val="00C65E6E"/>
    <w:rsid w:val="00CC11FA"/>
    <w:rsid w:val="00D10C1A"/>
    <w:rsid w:val="00D400D5"/>
    <w:rsid w:val="00D4237C"/>
    <w:rsid w:val="00D441A7"/>
    <w:rsid w:val="00D96965"/>
    <w:rsid w:val="00E25F1E"/>
    <w:rsid w:val="00E314B8"/>
    <w:rsid w:val="00E31A8C"/>
    <w:rsid w:val="00E36D2B"/>
    <w:rsid w:val="00E374B9"/>
    <w:rsid w:val="00E81849"/>
    <w:rsid w:val="00E95311"/>
    <w:rsid w:val="00EA762B"/>
    <w:rsid w:val="00ED5453"/>
    <w:rsid w:val="00F0749E"/>
    <w:rsid w:val="00F3110E"/>
    <w:rsid w:val="00F35CB5"/>
    <w:rsid w:val="00F4185B"/>
    <w:rsid w:val="00F8404D"/>
    <w:rsid w:val="00FC0A29"/>
    <w:rsid w:val="00FF3A71"/>
    <w:rsid w:val="051F4FA4"/>
    <w:rsid w:val="677CDA24"/>
    <w:rsid w:val="6ADB1F74"/>
    <w:rsid w:val="6B38D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8BF6"/>
  <w15:docId w15:val="{73002272-2DCE-41D7-BE17-BFD406E4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7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03"/>
      <w:ind w:left="3401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spacing w:before="70"/>
      <w:ind w:left="700" w:hanging="587"/>
    </w:pPr>
  </w:style>
  <w:style w:type="paragraph" w:customStyle="1" w:styleId="TableParagraph">
    <w:name w:val="Table Paragraph"/>
    <w:basedOn w:val="Normal"/>
    <w:uiPriority w:val="1"/>
    <w:qFormat/>
  </w:style>
  <w:style w:type="character" w:styleId="Nmerodelnea">
    <w:name w:val="line number"/>
    <w:basedOn w:val="Fuentedeprrafopredeter"/>
    <w:uiPriority w:val="99"/>
    <w:semiHidden/>
    <w:unhideWhenUsed/>
    <w:rsid w:val="00905E5C"/>
  </w:style>
  <w:style w:type="paragraph" w:styleId="Encabezado">
    <w:name w:val="header"/>
    <w:basedOn w:val="Normal"/>
    <w:link w:val="EncabezadoCar"/>
    <w:uiPriority w:val="99"/>
    <w:unhideWhenUsed/>
    <w:rsid w:val="0084336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36A"/>
    <w:rPr>
      <w:rFonts w:ascii="Palatino Linotype" w:eastAsia="Palatino Linotype" w:hAnsi="Palatino Linotype" w:cs="Palatino Linotyp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36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36A"/>
    <w:rPr>
      <w:rFonts w:ascii="Palatino Linotype" w:eastAsia="Palatino Linotype" w:hAnsi="Palatino Linotype" w:cs="Palatino Linotype"/>
      <w:lang w:val="es-ES"/>
    </w:rPr>
  </w:style>
  <w:style w:type="paragraph" w:styleId="Revisin">
    <w:name w:val="Revision"/>
    <w:hidden/>
    <w:uiPriority w:val="99"/>
    <w:semiHidden/>
    <w:rsid w:val="005C472E"/>
    <w:pPr>
      <w:widowControl/>
      <w:autoSpaceDE/>
      <w:autoSpaceDN/>
    </w:pPr>
    <w:rPr>
      <w:rFonts w:ascii="Palatino Linotype" w:eastAsia="Palatino Linotype" w:hAnsi="Palatino Linotype" w:cs="Palatino Linotyp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19EBE0B571047BEF7F649D7ED2C8D" ma:contentTypeVersion="12" ma:contentTypeDescription="Crear nuevo documento." ma:contentTypeScope="" ma:versionID="06b8d2df38a9259aca58a4f32c5c5d6a">
  <xsd:schema xmlns:xsd="http://www.w3.org/2001/XMLSchema" xmlns:xs="http://www.w3.org/2001/XMLSchema" xmlns:p="http://schemas.microsoft.com/office/2006/metadata/properties" xmlns:ns2="3b1eb823-70b0-4f33-beb9-33d50ec8fe8f" xmlns:ns3="fb2cfd74-fd31-4aa6-878c-bb680d93a36f" targetNamespace="http://schemas.microsoft.com/office/2006/metadata/properties" ma:root="true" ma:fieldsID="412af9a35c5d74b6f67142a319178332" ns2:_="" ns3:_="">
    <xsd:import namespace="3b1eb823-70b0-4f33-beb9-33d50ec8fe8f"/>
    <xsd:import namespace="fb2cfd74-fd31-4aa6-878c-bb680d93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echayhor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b823-70b0-4f33-beb9-33d50ec8f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chayhora" ma:index="12" nillable="true" ma:displayName="Fecha y hora" ma:format="DateOnly" ma:internalName="Fechayhora">
      <xsd:simpleType>
        <xsd:restriction base="dms:DateTim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10416cf-4885-47a5-b430-e273a10f9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d74-fd31-4aa6-878c-bb680d93a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fb7403-d597-49a9-850b-f6548dd35855}" ma:internalName="TaxCatchAll" ma:showField="CatchAllData" ma:web="fb2cfd74-fd31-4aa6-878c-bb680d93a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1eb823-70b0-4f33-beb9-33d50ec8fe8f">
      <Terms xmlns="http://schemas.microsoft.com/office/infopath/2007/PartnerControls"/>
    </lcf76f155ced4ddcb4097134ff3c332f>
    <TaxCatchAll xmlns="fb2cfd74-fd31-4aa6-878c-bb680d93a36f" xsi:nil="true"/>
    <Fechayhora xmlns="3b1eb823-70b0-4f33-beb9-33d50ec8fe8f" xsi:nil="true"/>
  </documentManagement>
</p:properties>
</file>

<file path=customXml/itemProps1.xml><?xml version="1.0" encoding="utf-8"?>
<ds:datastoreItem xmlns:ds="http://schemas.openxmlformats.org/officeDocument/2006/customXml" ds:itemID="{4B07F86B-AA6D-45A4-AF51-01FE2E449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60C8E-DE23-4ED7-ABCA-905D1A245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eb823-70b0-4f33-beb9-33d50ec8fe8f"/>
    <ds:schemaRef ds:uri="fb2cfd74-fd31-4aa6-878c-bb680d93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76809-96C4-4E16-9DB1-AFE5941D26C8}">
  <ds:schemaRefs>
    <ds:schemaRef ds:uri="http://www.w3.org/XML/1998/namespace"/>
    <ds:schemaRef ds:uri="http://purl.org/dc/elements/1.1/"/>
    <ds:schemaRef ds:uri="http://purl.org/dc/dcmitype/"/>
    <ds:schemaRef ds:uri="fb2cfd74-fd31-4aa6-878c-bb680d93a36f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b1eb823-70b0-4f33-beb9-33d50ec8fe8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Delvin Caraballo Rodríguez</dc:creator>
  <cp:lastModifiedBy>Rocío Alayón Morell</cp:lastModifiedBy>
  <cp:revision>5</cp:revision>
  <cp:lastPrinted>2024-01-23T17:05:00Z</cp:lastPrinted>
  <dcterms:created xsi:type="dcterms:W3CDTF">2024-01-23T17:40:00Z</dcterms:created>
  <dcterms:modified xsi:type="dcterms:W3CDTF">2024-01-25T17:50:00Z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2023-11-08T00:00:00Z</vt:filetime>
  </property>
  <property fmtid="{D5CDD505-2E9C-101B-9397-08002B2CF9AE}" pid="5" name="ContentTypeId">
    <vt:lpwstr>0x010100DB2D9E4594F1DD44A743154B72AA5961</vt:lpwstr>
  </property>
  <property fmtid="{D5CDD505-2E9C-101B-9397-08002B2CF9AE}" pid="6" name="MediaServiceImageTags">
    <vt:lpwstr/>
  </property>
</Properties>
</file>