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07" w:rsidRPr="002B2C03" w:rsidRDefault="003B0807" w:rsidP="003B0807">
      <w:pPr>
        <w:jc w:val="center"/>
        <w:rPr>
          <w:rFonts w:ascii="Book Antiqua" w:hAnsi="Book Antiqua"/>
          <w:sz w:val="28"/>
          <w:szCs w:val="28"/>
          <w:lang w:val="es-PR"/>
        </w:rPr>
      </w:pPr>
      <w:r>
        <w:rPr>
          <w:rFonts w:ascii="Book Antiqua" w:hAnsi="Book Antiqua"/>
          <w:sz w:val="28"/>
          <w:szCs w:val="28"/>
          <w:lang w:val="es-PR"/>
        </w:rPr>
        <w:t>ESTADO LIBRE ASOCIADO</w:t>
      </w:r>
      <w:r w:rsidRPr="002B2C03">
        <w:rPr>
          <w:rFonts w:ascii="Book Antiqua" w:hAnsi="Book Antiqua"/>
          <w:sz w:val="28"/>
          <w:szCs w:val="28"/>
          <w:lang w:val="es-PR"/>
        </w:rPr>
        <w:t xml:space="preserve"> DE PUERTO RICO</w:t>
      </w:r>
    </w:p>
    <w:p w:rsidR="003B0807" w:rsidRPr="002B2C03" w:rsidRDefault="003B0807" w:rsidP="003B0807">
      <w:pPr>
        <w:jc w:val="center"/>
        <w:rPr>
          <w:rFonts w:ascii="Book Antiqua" w:hAnsi="Book Antiqua"/>
          <w:lang w:val="es-PR"/>
        </w:rPr>
      </w:pPr>
    </w:p>
    <w:p w:rsidR="003B0807" w:rsidRPr="002B2C03" w:rsidRDefault="003B0807" w:rsidP="003B0807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PR"/>
        </w:rPr>
      </w:pPr>
      <w:r w:rsidRPr="002B2C03"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lang w:val="es-PR"/>
        </w:rPr>
        <w:t>9</w:t>
      </w:r>
      <w:r>
        <w:rPr>
          <w:rFonts w:ascii="Book Antiqua" w:hAnsi="Book Antiqua"/>
          <w:vertAlign w:val="superscript"/>
          <w:lang w:val="es-PR"/>
        </w:rPr>
        <w:t>n</w:t>
      </w:r>
      <w:r w:rsidRPr="002B2C03">
        <w:rPr>
          <w:rFonts w:ascii="Book Antiqua" w:hAnsi="Book Antiqua"/>
          <w:vertAlign w:val="superscript"/>
          <w:lang w:val="es-PR"/>
        </w:rPr>
        <w:t>a.</w:t>
      </w:r>
      <w:r w:rsidRPr="002B2C03">
        <w:rPr>
          <w:rFonts w:ascii="Book Antiqua" w:hAnsi="Book Antiqua"/>
          <w:lang w:val="es-PR"/>
        </w:rPr>
        <w:t xml:space="preserve"> Asamblea</w:t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  <w:t xml:space="preserve">           </w:t>
      </w:r>
      <w:r>
        <w:rPr>
          <w:rFonts w:ascii="Book Antiqua" w:hAnsi="Book Antiqua"/>
          <w:lang w:val="es-PR"/>
        </w:rPr>
        <w:t>1</w:t>
      </w:r>
      <w:r>
        <w:rPr>
          <w:rFonts w:ascii="Book Antiqua" w:hAnsi="Book Antiqua"/>
          <w:vertAlign w:val="superscript"/>
          <w:lang w:val="es-PR"/>
        </w:rPr>
        <w:t>r</w:t>
      </w:r>
      <w:r w:rsidRPr="002B2C03">
        <w:rPr>
          <w:rFonts w:ascii="Book Antiqua" w:hAnsi="Book Antiqua"/>
          <w:vertAlign w:val="superscript"/>
          <w:lang w:val="es-PR"/>
        </w:rPr>
        <w:t>a.</w:t>
      </w:r>
      <w:r w:rsidRPr="002B2C03">
        <w:rPr>
          <w:rFonts w:ascii="Book Antiqua" w:hAnsi="Book Antiqua"/>
          <w:lang w:val="es-PR"/>
        </w:rPr>
        <w:t xml:space="preserve"> Sesión</w:t>
      </w:r>
    </w:p>
    <w:p w:rsidR="003B0807" w:rsidRPr="002B2C03" w:rsidRDefault="003B0807" w:rsidP="003B0807">
      <w:pPr>
        <w:pStyle w:val="Title2"/>
        <w:tabs>
          <w:tab w:val="clear" w:pos="648"/>
          <w:tab w:val="clear" w:pos="7776"/>
          <w:tab w:val="clear" w:pos="7848"/>
        </w:tabs>
        <w:jc w:val="both"/>
        <w:rPr>
          <w:rFonts w:ascii="Book Antiqua" w:hAnsi="Book Antiqua"/>
          <w:lang w:val="es-PR"/>
        </w:rPr>
      </w:pPr>
      <w:r w:rsidRPr="002B2C03">
        <w:rPr>
          <w:rFonts w:ascii="Book Antiqua" w:hAnsi="Book Antiqua"/>
          <w:lang w:val="es-PR"/>
        </w:rPr>
        <w:t xml:space="preserve">          Legislativa</w:t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</w:r>
      <w:r w:rsidRPr="002B2C03">
        <w:rPr>
          <w:rFonts w:ascii="Book Antiqua" w:hAnsi="Book Antiqua"/>
          <w:lang w:val="es-PR"/>
        </w:rPr>
        <w:tab/>
        <w:t xml:space="preserve">      Ordinaria</w:t>
      </w:r>
    </w:p>
    <w:p w:rsidR="003B0807" w:rsidRPr="002B2C03" w:rsidRDefault="003B0807" w:rsidP="003B0807">
      <w:pPr>
        <w:rPr>
          <w:rFonts w:ascii="Book Antiqua" w:hAnsi="Book Antiqua"/>
          <w:lang w:val="es-PR"/>
        </w:rPr>
      </w:pPr>
    </w:p>
    <w:p w:rsidR="003B0807" w:rsidRPr="002B2C03" w:rsidRDefault="003B0807" w:rsidP="003B0807">
      <w:pPr>
        <w:jc w:val="center"/>
        <w:rPr>
          <w:rFonts w:ascii="Book Antiqua" w:hAnsi="Book Antiqua"/>
          <w:b/>
          <w:sz w:val="36"/>
          <w:szCs w:val="36"/>
          <w:lang w:val="es-PR"/>
        </w:rPr>
      </w:pPr>
      <w:r w:rsidRPr="002B2C03">
        <w:rPr>
          <w:rFonts w:ascii="Book Antiqua" w:hAnsi="Book Antiqua"/>
          <w:b/>
          <w:sz w:val="36"/>
          <w:szCs w:val="36"/>
          <w:lang w:val="es-PR"/>
        </w:rPr>
        <w:t>CÁMARA DE REPRESENTANTES</w:t>
      </w:r>
    </w:p>
    <w:p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:rsidR="003B0807" w:rsidRPr="002B2C03" w:rsidRDefault="003B0807" w:rsidP="003B0807">
      <w:pPr>
        <w:jc w:val="center"/>
        <w:rPr>
          <w:rFonts w:ascii="Book Antiqua" w:hAnsi="Book Antiqua"/>
          <w:b/>
          <w:sz w:val="52"/>
          <w:szCs w:val="52"/>
          <w:lang w:val="es-PR"/>
        </w:rPr>
      </w:pPr>
      <w:r w:rsidRPr="002B2C03">
        <w:rPr>
          <w:rFonts w:ascii="Book Antiqua" w:hAnsi="Book Antiqua"/>
          <w:b/>
          <w:sz w:val="52"/>
          <w:szCs w:val="52"/>
          <w:lang w:val="es-PR"/>
        </w:rPr>
        <w:t xml:space="preserve">R. de la C. </w:t>
      </w:r>
      <w:r w:rsidR="00131DEC">
        <w:rPr>
          <w:rFonts w:ascii="Book Antiqua" w:hAnsi="Book Antiqua"/>
          <w:b/>
          <w:sz w:val="52"/>
          <w:szCs w:val="52"/>
          <w:lang w:val="es-PR"/>
        </w:rPr>
        <w:t>296</w:t>
      </w:r>
    </w:p>
    <w:p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:rsidR="003B0807" w:rsidRPr="002B2C03" w:rsidRDefault="00131DEC" w:rsidP="003B0807">
      <w:pPr>
        <w:jc w:val="center"/>
        <w:rPr>
          <w:rFonts w:ascii="Book Antiqua" w:hAnsi="Book Antiqua"/>
          <w:szCs w:val="24"/>
          <w:lang w:val="es-PR"/>
        </w:rPr>
      </w:pPr>
      <w:r>
        <w:rPr>
          <w:rFonts w:ascii="Book Antiqua" w:hAnsi="Book Antiqua"/>
          <w:szCs w:val="24"/>
          <w:lang w:val="es-PR"/>
        </w:rPr>
        <w:t>24</w:t>
      </w:r>
      <w:r w:rsidR="003B0807">
        <w:rPr>
          <w:rFonts w:ascii="Book Antiqua" w:hAnsi="Book Antiqua"/>
          <w:szCs w:val="24"/>
          <w:lang w:val="es-PR"/>
        </w:rPr>
        <w:t xml:space="preserve"> </w:t>
      </w:r>
      <w:r w:rsidR="003B0807" w:rsidRPr="002B2C03">
        <w:rPr>
          <w:rFonts w:ascii="Book Antiqua" w:hAnsi="Book Antiqua"/>
          <w:szCs w:val="24"/>
          <w:lang w:val="es-PR"/>
        </w:rPr>
        <w:t xml:space="preserve">DE </w:t>
      </w:r>
      <w:r w:rsidR="003B0807">
        <w:rPr>
          <w:rFonts w:ascii="Book Antiqua" w:hAnsi="Book Antiqua"/>
          <w:szCs w:val="24"/>
          <w:lang w:val="es-PR"/>
        </w:rPr>
        <w:t>FEBRERO</w:t>
      </w:r>
      <w:r w:rsidR="003B0807" w:rsidRPr="002B2C03">
        <w:rPr>
          <w:rFonts w:ascii="Book Antiqua" w:hAnsi="Book Antiqua"/>
          <w:szCs w:val="24"/>
          <w:lang w:val="es-PR"/>
        </w:rPr>
        <w:t xml:space="preserve"> DE 2</w:t>
      </w:r>
      <w:r w:rsidR="003B0807">
        <w:rPr>
          <w:rFonts w:ascii="Book Antiqua" w:hAnsi="Book Antiqua"/>
          <w:szCs w:val="24"/>
          <w:lang w:val="es-PR"/>
        </w:rPr>
        <w:t>021</w:t>
      </w:r>
    </w:p>
    <w:p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:rsidR="003B0807" w:rsidRPr="002B2C03" w:rsidRDefault="003B0807" w:rsidP="00B2431E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>Presentada por l</w:t>
      </w:r>
      <w:r w:rsidR="00B2431E">
        <w:rPr>
          <w:rFonts w:ascii="Book Antiqua" w:hAnsi="Book Antiqua"/>
          <w:szCs w:val="24"/>
          <w:lang w:val="es-PR"/>
        </w:rPr>
        <w:t>os</w:t>
      </w:r>
      <w:r w:rsidRPr="002B2C03">
        <w:rPr>
          <w:rFonts w:ascii="Book Antiqua" w:hAnsi="Book Antiqua"/>
          <w:szCs w:val="24"/>
          <w:lang w:val="es-PR"/>
        </w:rPr>
        <w:t xml:space="preserve"> representante</w:t>
      </w:r>
      <w:r w:rsidR="00B2431E">
        <w:rPr>
          <w:rFonts w:ascii="Book Antiqua" w:hAnsi="Book Antiqua"/>
          <w:szCs w:val="24"/>
          <w:lang w:val="es-PR"/>
        </w:rPr>
        <w:t>s</w:t>
      </w:r>
      <w:r w:rsidR="00B2431E">
        <w:rPr>
          <w:rFonts w:ascii="Book Antiqua" w:hAnsi="Book Antiqua"/>
          <w:i/>
          <w:szCs w:val="24"/>
          <w:lang w:val="es-PR"/>
        </w:rPr>
        <w:t xml:space="preserve"> </w:t>
      </w:r>
      <w:r w:rsidR="00B2431E">
        <w:rPr>
          <w:rFonts w:ascii="Book Antiqua" w:hAnsi="Book Antiqua"/>
          <w:szCs w:val="24"/>
          <w:lang w:val="es-PR"/>
        </w:rPr>
        <w:t xml:space="preserve">y las representantes </w:t>
      </w:r>
      <w:r>
        <w:rPr>
          <w:rFonts w:ascii="Book Antiqua" w:hAnsi="Book Antiqua"/>
          <w:i/>
          <w:szCs w:val="24"/>
          <w:lang w:val="es-PR"/>
        </w:rPr>
        <w:t>Torres Cruz</w:t>
      </w:r>
      <w:r w:rsidR="00B2431E">
        <w:rPr>
          <w:rFonts w:ascii="Book Antiqua" w:hAnsi="Book Antiqua"/>
          <w:i/>
          <w:szCs w:val="24"/>
          <w:lang w:val="es-PR"/>
        </w:rPr>
        <w:t>, Santa Rodríguez, Aponte Rosario, Soto Arroyo</w:t>
      </w:r>
      <w:r w:rsidR="004C7551">
        <w:rPr>
          <w:rFonts w:ascii="Book Antiqua" w:hAnsi="Book Antiqua"/>
          <w:i/>
          <w:szCs w:val="24"/>
          <w:lang w:val="es-PR"/>
        </w:rPr>
        <w:t xml:space="preserve">, Rivera </w:t>
      </w:r>
      <w:proofErr w:type="spellStart"/>
      <w:r w:rsidR="004C7551">
        <w:rPr>
          <w:rFonts w:ascii="Book Antiqua" w:hAnsi="Book Antiqua"/>
          <w:i/>
          <w:szCs w:val="24"/>
          <w:lang w:val="es-PR"/>
        </w:rPr>
        <w:t>Segarra</w:t>
      </w:r>
      <w:proofErr w:type="spellEnd"/>
      <w:r w:rsidR="004C7551">
        <w:rPr>
          <w:rFonts w:ascii="Book Antiqua" w:hAnsi="Book Antiqua"/>
          <w:i/>
          <w:szCs w:val="24"/>
          <w:lang w:val="es-PR"/>
        </w:rPr>
        <w:t xml:space="preserve">, Díaz Collazo, </w:t>
      </w:r>
      <w:r w:rsidR="00B2431E">
        <w:rPr>
          <w:rFonts w:ascii="Book Antiqua" w:hAnsi="Book Antiqua"/>
          <w:i/>
          <w:szCs w:val="24"/>
          <w:lang w:val="es-PR"/>
        </w:rPr>
        <w:t xml:space="preserve">Nogales </w:t>
      </w:r>
      <w:proofErr w:type="spellStart"/>
      <w:r w:rsidR="00B2431E">
        <w:rPr>
          <w:rFonts w:ascii="Book Antiqua" w:hAnsi="Book Antiqua"/>
          <w:i/>
          <w:szCs w:val="24"/>
          <w:lang w:val="es-PR"/>
        </w:rPr>
        <w:t>Molinelli</w:t>
      </w:r>
      <w:proofErr w:type="spellEnd"/>
      <w:r w:rsidR="00B2431E">
        <w:rPr>
          <w:rFonts w:ascii="Book Antiqua" w:hAnsi="Book Antiqua"/>
          <w:i/>
          <w:szCs w:val="24"/>
          <w:lang w:val="es-PR"/>
        </w:rPr>
        <w:t>, Márquez Lebrón y Burgos Muñiz</w:t>
      </w:r>
      <w:bookmarkStart w:id="0" w:name="_GoBack"/>
      <w:bookmarkEnd w:id="0"/>
      <w:r w:rsidR="00B2431E">
        <w:rPr>
          <w:rFonts w:ascii="Book Antiqua" w:hAnsi="Book Antiqua"/>
          <w:i/>
          <w:szCs w:val="24"/>
          <w:lang w:val="es-PR"/>
        </w:rPr>
        <w:t xml:space="preserve"> </w:t>
      </w:r>
      <w:r w:rsidRPr="002B2C03">
        <w:rPr>
          <w:rFonts w:ascii="Book Antiqua" w:hAnsi="Book Antiqua"/>
          <w:i/>
          <w:szCs w:val="24"/>
          <w:lang w:val="es-PR"/>
        </w:rPr>
        <w:t xml:space="preserve">  </w:t>
      </w:r>
    </w:p>
    <w:p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</w:p>
    <w:p w:rsidR="003B0807" w:rsidRDefault="003B0807" w:rsidP="003B0807">
      <w:pPr>
        <w:jc w:val="center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 xml:space="preserve">Referida a </w:t>
      </w:r>
      <w:r w:rsidR="00F56E95">
        <w:rPr>
          <w:rFonts w:ascii="Book Antiqua" w:hAnsi="Book Antiqua"/>
          <w:szCs w:val="24"/>
          <w:lang w:val="es-PR"/>
        </w:rPr>
        <w:t>la Comisión de Asuntos Internos</w:t>
      </w:r>
    </w:p>
    <w:p w:rsidR="00B2431E" w:rsidRPr="002B2C03" w:rsidRDefault="00B2431E" w:rsidP="003B0807">
      <w:pPr>
        <w:jc w:val="center"/>
        <w:rPr>
          <w:rFonts w:ascii="Book Antiqua" w:hAnsi="Book Antiqua"/>
          <w:szCs w:val="24"/>
          <w:lang w:val="es-PR"/>
        </w:rPr>
      </w:pPr>
    </w:p>
    <w:p w:rsidR="003B0807" w:rsidRPr="002B2C03" w:rsidRDefault="003B0807" w:rsidP="003B0807">
      <w:pPr>
        <w:jc w:val="center"/>
        <w:rPr>
          <w:rFonts w:ascii="Book Antiqua" w:hAnsi="Book Antiqua"/>
          <w:b/>
          <w:sz w:val="28"/>
          <w:szCs w:val="28"/>
          <w:lang w:val="es-PR"/>
        </w:rPr>
      </w:pPr>
      <w:r w:rsidRPr="002B2C03">
        <w:rPr>
          <w:rFonts w:ascii="Book Antiqua" w:hAnsi="Book Antiqua"/>
          <w:b/>
          <w:sz w:val="28"/>
          <w:szCs w:val="28"/>
          <w:lang w:val="es-PR"/>
        </w:rPr>
        <w:t>RESOLUCIÓN</w:t>
      </w:r>
    </w:p>
    <w:p w:rsidR="003B0807" w:rsidRPr="002B2C03" w:rsidRDefault="003B0807" w:rsidP="003B0807">
      <w:pPr>
        <w:jc w:val="both"/>
        <w:rPr>
          <w:rFonts w:ascii="Book Antiqua" w:hAnsi="Book Antiqua"/>
          <w:szCs w:val="24"/>
          <w:lang w:val="es-PR"/>
        </w:rPr>
      </w:pPr>
    </w:p>
    <w:p w:rsidR="00616170" w:rsidRDefault="003B0807" w:rsidP="00F56E95">
      <w:pPr>
        <w:ind w:left="720" w:hanging="720"/>
        <w:jc w:val="both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 xml:space="preserve">Para ordenar </w:t>
      </w:r>
      <w:r w:rsidRPr="003B0807">
        <w:rPr>
          <w:rFonts w:ascii="Book Antiqua" w:hAnsi="Book Antiqua"/>
          <w:szCs w:val="24"/>
          <w:lang w:val="es-ES"/>
        </w:rPr>
        <w:t xml:space="preserve">a la Comisión de Desarrollo Económico, Planificación, Telecomunicaciones, Alianzas Público Privadas y Energía </w:t>
      </w:r>
      <w:r w:rsidRPr="002B2C03">
        <w:rPr>
          <w:rFonts w:ascii="Book Antiqua" w:hAnsi="Book Antiqua"/>
          <w:szCs w:val="24"/>
          <w:lang w:val="es-PR"/>
        </w:rPr>
        <w:t>de la Cámara de Representantes de</w:t>
      </w:r>
      <w:r w:rsidR="0001700E">
        <w:rPr>
          <w:rFonts w:ascii="Book Antiqua" w:hAnsi="Book Antiqua"/>
          <w:szCs w:val="24"/>
          <w:lang w:val="es-PR"/>
        </w:rPr>
        <w:t>l Estado Libre Asociado de</w:t>
      </w:r>
      <w:r w:rsidR="0003649F">
        <w:rPr>
          <w:rFonts w:ascii="Book Antiqua" w:hAnsi="Book Antiqua"/>
          <w:szCs w:val="24"/>
          <w:lang w:val="es-PR"/>
        </w:rPr>
        <w:t xml:space="preserve"> Puerto Rico</w:t>
      </w:r>
      <w:r w:rsidR="00B2431E">
        <w:rPr>
          <w:rFonts w:ascii="Book Antiqua" w:hAnsi="Book Antiqua"/>
          <w:szCs w:val="24"/>
          <w:lang w:val="es-PR"/>
        </w:rPr>
        <w:t xml:space="preserve"> </w:t>
      </w:r>
      <w:r w:rsidRPr="002B2C03">
        <w:rPr>
          <w:rFonts w:ascii="Book Antiqua" w:hAnsi="Book Antiqua"/>
          <w:szCs w:val="24"/>
          <w:lang w:val="es-PR"/>
        </w:rPr>
        <w:t>realizar un</w:t>
      </w:r>
      <w:r w:rsidR="0003649F">
        <w:rPr>
          <w:rFonts w:ascii="Book Antiqua" w:hAnsi="Book Antiqua"/>
          <w:szCs w:val="24"/>
          <w:lang w:val="es-PR"/>
        </w:rPr>
        <w:t>a</w:t>
      </w:r>
      <w:r w:rsidRPr="002B2C03">
        <w:rPr>
          <w:rFonts w:ascii="Book Antiqua" w:hAnsi="Book Antiqua"/>
          <w:szCs w:val="24"/>
          <w:lang w:val="es-PR"/>
        </w:rPr>
        <w:t xml:space="preserve"> </w:t>
      </w:r>
      <w:r w:rsidR="0003649F">
        <w:rPr>
          <w:rFonts w:ascii="Book Antiqua" w:hAnsi="Book Antiqua"/>
          <w:szCs w:val="24"/>
          <w:lang w:val="es-PR"/>
        </w:rPr>
        <w:t xml:space="preserve">investigación </w:t>
      </w:r>
      <w:r w:rsidR="005C73F4">
        <w:rPr>
          <w:rFonts w:ascii="Book Antiqua" w:hAnsi="Book Antiqua"/>
          <w:szCs w:val="24"/>
          <w:lang w:val="es-PR"/>
        </w:rPr>
        <w:t xml:space="preserve">sobre </w:t>
      </w:r>
      <w:r w:rsidR="005C73F4" w:rsidRPr="005C73F4">
        <w:rPr>
          <w:rFonts w:ascii="Book Antiqua" w:hAnsi="Book Antiqua"/>
          <w:szCs w:val="24"/>
          <w:lang w:val="es-PR"/>
        </w:rPr>
        <w:t>la aplicación de las disposiciones contenidas </w:t>
      </w:r>
      <w:r w:rsidR="005C73F4">
        <w:rPr>
          <w:rFonts w:ascii="Book Antiqua" w:hAnsi="Book Antiqua"/>
          <w:szCs w:val="24"/>
          <w:lang w:val="es-PR"/>
        </w:rPr>
        <w:t xml:space="preserve">en </w:t>
      </w:r>
      <w:r w:rsidRPr="002B2C03">
        <w:rPr>
          <w:rFonts w:ascii="Book Antiqua" w:hAnsi="Book Antiqua"/>
          <w:szCs w:val="24"/>
          <w:lang w:val="es-PR"/>
        </w:rPr>
        <w:t xml:space="preserve">la Ley 22-2012, según enmendada, conocida como “Ley Para Incentivar el Traslado de Individuos Inversionistas a Puerto Rico”, </w:t>
      </w:r>
      <w:r w:rsidR="003618E3" w:rsidRPr="003618E3">
        <w:rPr>
          <w:rFonts w:ascii="Book Antiqua" w:hAnsi="Book Antiqua"/>
          <w:szCs w:val="24"/>
          <w:lang w:val="es-PR"/>
        </w:rPr>
        <w:t xml:space="preserve">con el propósito de </w:t>
      </w:r>
      <w:r w:rsidR="00E6217F" w:rsidRPr="003618E3">
        <w:rPr>
          <w:rFonts w:ascii="Book Antiqua" w:hAnsi="Book Antiqua"/>
          <w:szCs w:val="24"/>
          <w:lang w:val="es-PR"/>
        </w:rPr>
        <w:t>examinar</w:t>
      </w:r>
      <w:r w:rsidR="003618E3" w:rsidRPr="003618E3">
        <w:rPr>
          <w:rFonts w:ascii="Book Antiqua" w:hAnsi="Book Antiqua"/>
          <w:szCs w:val="24"/>
          <w:lang w:val="es-PR"/>
        </w:rPr>
        <w:t xml:space="preserve"> </w:t>
      </w:r>
      <w:r w:rsidR="00E6217F">
        <w:rPr>
          <w:rFonts w:ascii="Book Antiqua" w:hAnsi="Book Antiqua"/>
          <w:szCs w:val="24"/>
          <w:lang w:val="es-PR"/>
        </w:rPr>
        <w:t xml:space="preserve">el cumplimiento de </w:t>
      </w:r>
      <w:r w:rsidR="003618E3" w:rsidRPr="003618E3">
        <w:rPr>
          <w:rFonts w:ascii="Book Antiqua" w:hAnsi="Book Antiqua"/>
          <w:szCs w:val="24"/>
          <w:lang w:val="es-PR"/>
        </w:rPr>
        <w:t>sus objetivos</w:t>
      </w:r>
      <w:r w:rsidR="00E6217F">
        <w:rPr>
          <w:rFonts w:ascii="Book Antiqua" w:hAnsi="Book Antiqua"/>
          <w:szCs w:val="24"/>
          <w:lang w:val="es-PR"/>
        </w:rPr>
        <w:t>, la cantidad de empleos creados en Puerto Rico,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E6217F">
        <w:rPr>
          <w:rFonts w:ascii="Book Antiqua" w:hAnsi="Book Antiqua"/>
          <w:szCs w:val="24"/>
          <w:lang w:val="es-PR"/>
        </w:rPr>
        <w:t>la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E6217F">
        <w:rPr>
          <w:rFonts w:ascii="Book Antiqua" w:hAnsi="Book Antiqua"/>
          <w:szCs w:val="24"/>
          <w:lang w:val="es-PR"/>
        </w:rPr>
        <w:t>inversión</w:t>
      </w:r>
      <w:r w:rsidR="00CB49D0">
        <w:rPr>
          <w:rFonts w:ascii="Book Antiqua" w:hAnsi="Book Antiqua"/>
          <w:szCs w:val="24"/>
          <w:lang w:val="es-PR"/>
        </w:rPr>
        <w:t xml:space="preserve"> </w:t>
      </w:r>
      <w:r w:rsidR="005C73F4">
        <w:rPr>
          <w:rFonts w:ascii="Book Antiqua" w:hAnsi="Book Antiqua"/>
          <w:szCs w:val="24"/>
          <w:lang w:val="es-PR"/>
        </w:rPr>
        <w:t xml:space="preserve">realizadas por el Estado, los </w:t>
      </w:r>
      <w:r w:rsidR="00CB49D0">
        <w:rPr>
          <w:rFonts w:ascii="Book Antiqua" w:hAnsi="Book Antiqua"/>
          <w:szCs w:val="24"/>
          <w:lang w:val="es-PR"/>
        </w:rPr>
        <w:t xml:space="preserve">beneficios producidos al fisco y determinar si esta Ley debe continuar vigente o derogarse, y </w:t>
      </w:r>
      <w:r w:rsidR="003618E3" w:rsidRPr="003618E3">
        <w:rPr>
          <w:rFonts w:ascii="Book Antiqua" w:hAnsi="Book Antiqua"/>
          <w:szCs w:val="24"/>
          <w:lang w:val="es-PR"/>
        </w:rPr>
        <w:t xml:space="preserve">para otros fines.       </w:t>
      </w:r>
    </w:p>
    <w:p w:rsidR="00E6217F" w:rsidRPr="002B2C03" w:rsidRDefault="00E6217F" w:rsidP="00616170">
      <w:pPr>
        <w:ind w:left="540" w:hanging="540"/>
        <w:jc w:val="both"/>
        <w:rPr>
          <w:rFonts w:ascii="Book Antiqua" w:hAnsi="Book Antiqua"/>
          <w:szCs w:val="24"/>
          <w:lang w:val="es-PR"/>
        </w:rPr>
      </w:pPr>
    </w:p>
    <w:p w:rsidR="003B0807" w:rsidRPr="002B2C03" w:rsidRDefault="003B0807" w:rsidP="003B0807">
      <w:pPr>
        <w:jc w:val="center"/>
        <w:rPr>
          <w:rFonts w:ascii="Book Antiqua" w:hAnsi="Book Antiqua"/>
          <w:szCs w:val="24"/>
          <w:lang w:val="es-PR"/>
        </w:rPr>
      </w:pPr>
      <w:r w:rsidRPr="002B2C03">
        <w:rPr>
          <w:rFonts w:ascii="Book Antiqua" w:hAnsi="Book Antiqua"/>
          <w:szCs w:val="24"/>
          <w:lang w:val="es-PR"/>
        </w:rPr>
        <w:t>EXPOSICIÓN DE MOTIVOS</w:t>
      </w:r>
    </w:p>
    <w:p w:rsidR="003B0807" w:rsidRPr="002B2C03" w:rsidRDefault="003B0807" w:rsidP="003B0807">
      <w:pPr>
        <w:rPr>
          <w:rFonts w:ascii="Book Antiqua" w:hAnsi="Book Antiqua"/>
          <w:szCs w:val="24"/>
          <w:lang w:val="es-PR"/>
        </w:rPr>
      </w:pPr>
    </w:p>
    <w:p w:rsidR="003B0807" w:rsidRPr="002B2C03" w:rsidRDefault="003B0807" w:rsidP="003B0807">
      <w:pPr>
        <w:rPr>
          <w:rFonts w:ascii="Book Antiqua" w:hAnsi="Book Antiqua"/>
          <w:szCs w:val="24"/>
          <w:lang w:val="es-PR"/>
        </w:rPr>
        <w:sectPr w:rsidR="003B0807" w:rsidRPr="002B2C03" w:rsidSect="003B0807">
          <w:headerReference w:type="even" r:id="rId7"/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2568DB" w:rsidRDefault="003B0807" w:rsidP="002568DB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 w:rsidRPr="002B2C03">
        <w:rPr>
          <w:rFonts w:ascii="Book Antiqua" w:hAnsi="Book Antiqua"/>
          <w:bCs/>
          <w:szCs w:val="24"/>
          <w:lang w:val="es-PR"/>
        </w:rPr>
        <w:lastRenderedPageBreak/>
        <w:t>La Ley 22-2012, según enmendada, conocida como “Ley Para Incentivar el Traslado de Individuo</w:t>
      </w:r>
      <w:r w:rsidR="00512A40">
        <w:rPr>
          <w:rFonts w:ascii="Book Antiqua" w:hAnsi="Book Antiqua"/>
          <w:bCs/>
          <w:szCs w:val="24"/>
          <w:lang w:val="es-PR"/>
        </w:rPr>
        <w:t>s Inversionistas a Puerto Rico</w:t>
      </w:r>
      <w:r w:rsidR="00890C97">
        <w:rPr>
          <w:rFonts w:ascii="Book Antiqua" w:hAnsi="Book Antiqua"/>
          <w:bCs/>
          <w:szCs w:val="24"/>
          <w:lang w:val="es-PR"/>
        </w:rPr>
        <w:t>”</w:t>
      </w:r>
      <w:r w:rsidR="00512A40">
        <w:rPr>
          <w:rFonts w:ascii="Book Antiqua" w:hAnsi="Book Antiqua"/>
          <w:bCs/>
          <w:szCs w:val="24"/>
          <w:lang w:val="es-PR"/>
        </w:rPr>
        <w:t xml:space="preserve">, </w:t>
      </w:r>
      <w:r w:rsidR="005C73F4" w:rsidRPr="005C73F4">
        <w:rPr>
          <w:rFonts w:ascii="Book Antiqua" w:hAnsi="Book Antiqua"/>
          <w:bCs/>
          <w:szCs w:val="24"/>
          <w:lang w:val="es-PR"/>
        </w:rPr>
        <w:t xml:space="preserve">persigue atraer empresas que se dediquen a </w:t>
      </w:r>
      <w:r w:rsidR="005C73F4">
        <w:rPr>
          <w:rFonts w:ascii="Book Antiqua" w:hAnsi="Book Antiqua"/>
          <w:bCs/>
          <w:szCs w:val="24"/>
          <w:lang w:val="es-PR"/>
        </w:rPr>
        <w:t>proveer distintos servicios</w:t>
      </w:r>
      <w:r w:rsidR="002568DB">
        <w:rPr>
          <w:rFonts w:ascii="Book Antiqua" w:hAnsi="Book Antiqua"/>
          <w:bCs/>
          <w:szCs w:val="24"/>
          <w:lang w:val="es-PR"/>
        </w:rPr>
        <w:t xml:space="preserve"> </w:t>
      </w:r>
      <w:r w:rsidR="00890C97">
        <w:rPr>
          <w:rFonts w:ascii="Book Antiqua" w:hAnsi="Book Antiqua"/>
          <w:bCs/>
          <w:szCs w:val="24"/>
          <w:lang w:val="es-PR"/>
        </w:rPr>
        <w:t xml:space="preserve">mediante la </w:t>
      </w:r>
      <w:r w:rsidR="00FF53E6">
        <w:rPr>
          <w:rFonts w:ascii="Book Antiqua" w:hAnsi="Book Antiqua"/>
          <w:bCs/>
          <w:szCs w:val="24"/>
          <w:lang w:val="es-PR"/>
        </w:rPr>
        <w:t xml:space="preserve">concesión de </w:t>
      </w:r>
      <w:r w:rsidR="005C73F4">
        <w:rPr>
          <w:rFonts w:ascii="Book Antiqua" w:hAnsi="Book Antiqua"/>
          <w:bCs/>
          <w:szCs w:val="24"/>
          <w:lang w:val="es-PR"/>
        </w:rPr>
        <w:t>exencio</w:t>
      </w:r>
      <w:r w:rsidR="00890C97">
        <w:rPr>
          <w:rFonts w:ascii="Book Antiqua" w:hAnsi="Book Antiqua"/>
          <w:bCs/>
          <w:szCs w:val="24"/>
          <w:lang w:val="es-PR"/>
        </w:rPr>
        <w:t>n</w:t>
      </w:r>
      <w:r w:rsidR="005C73F4">
        <w:rPr>
          <w:rFonts w:ascii="Book Antiqua" w:hAnsi="Book Antiqua"/>
          <w:bCs/>
          <w:szCs w:val="24"/>
          <w:lang w:val="es-PR"/>
        </w:rPr>
        <w:t>es</w:t>
      </w:r>
      <w:r w:rsidR="007267C5">
        <w:rPr>
          <w:rFonts w:ascii="Book Antiqua" w:hAnsi="Book Antiqua"/>
          <w:bCs/>
          <w:szCs w:val="24"/>
          <w:lang w:val="es-PR"/>
        </w:rPr>
        <w:t xml:space="preserve"> de</w:t>
      </w:r>
      <w:r w:rsidR="00890C97">
        <w:rPr>
          <w:rFonts w:ascii="Book Antiqua" w:hAnsi="Book Antiqua"/>
          <w:bCs/>
          <w:szCs w:val="24"/>
          <w:lang w:val="es-PR"/>
        </w:rPr>
        <w:t xml:space="preserve"> impuestos</w:t>
      </w:r>
      <w:r w:rsidR="005C73F4">
        <w:rPr>
          <w:rFonts w:ascii="Book Antiqua" w:hAnsi="Book Antiqua"/>
          <w:bCs/>
          <w:szCs w:val="24"/>
          <w:lang w:val="es-PR"/>
        </w:rPr>
        <w:t>.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5C73F4">
        <w:rPr>
          <w:rFonts w:ascii="Book Antiqua" w:hAnsi="Book Antiqua"/>
          <w:bCs/>
          <w:szCs w:val="24"/>
          <w:lang w:val="es-PR"/>
        </w:rPr>
        <w:t>En unión a lo anterior, esta legislación promueve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5C73F4">
        <w:rPr>
          <w:rFonts w:ascii="Book Antiqua" w:hAnsi="Book Antiqua"/>
          <w:bCs/>
          <w:szCs w:val="24"/>
          <w:lang w:val="es-PR"/>
        </w:rPr>
        <w:t>la</w:t>
      </w:r>
      <w:r w:rsidR="009D50EE">
        <w:rPr>
          <w:rFonts w:ascii="Book Antiqua" w:hAnsi="Book Antiqua"/>
          <w:bCs/>
          <w:szCs w:val="24"/>
          <w:lang w:val="es-PR"/>
        </w:rPr>
        <w:t xml:space="preserve"> </w:t>
      </w:r>
      <w:r w:rsidR="00FF53E6">
        <w:rPr>
          <w:rFonts w:ascii="Book Antiqua" w:hAnsi="Book Antiqua"/>
          <w:bCs/>
          <w:szCs w:val="24"/>
          <w:lang w:val="es-PR"/>
        </w:rPr>
        <w:t>r</w:t>
      </w:r>
      <w:r w:rsidR="005C73F4">
        <w:rPr>
          <w:rFonts w:ascii="Book Antiqua" w:hAnsi="Book Antiqua"/>
          <w:bCs/>
          <w:szCs w:val="24"/>
          <w:lang w:val="es-PR"/>
        </w:rPr>
        <w:t xml:space="preserve">elocalización de </w:t>
      </w:r>
      <w:r w:rsidR="009D50EE">
        <w:rPr>
          <w:rFonts w:ascii="Book Antiqua" w:hAnsi="Book Antiqua"/>
          <w:bCs/>
          <w:szCs w:val="24"/>
          <w:lang w:val="es-PR"/>
        </w:rPr>
        <w:t xml:space="preserve">ciudadanos </w:t>
      </w:r>
      <w:r w:rsidR="005C73F4">
        <w:rPr>
          <w:rFonts w:ascii="Book Antiqua" w:hAnsi="Book Antiqua"/>
          <w:bCs/>
          <w:szCs w:val="24"/>
          <w:lang w:val="es-PR"/>
        </w:rPr>
        <w:t xml:space="preserve">extranjeros a Puerto Rico, con </w:t>
      </w:r>
      <w:r w:rsidR="009D50EE">
        <w:rPr>
          <w:rFonts w:ascii="Book Antiqua" w:hAnsi="Book Antiqua"/>
          <w:bCs/>
          <w:szCs w:val="24"/>
          <w:lang w:val="es-PR"/>
        </w:rPr>
        <w:t>el propósito de conquistar</w:t>
      </w:r>
      <w:r w:rsidR="002568DB">
        <w:rPr>
          <w:rFonts w:ascii="Book Antiqua" w:hAnsi="Book Antiqua"/>
          <w:bCs/>
          <w:szCs w:val="24"/>
          <w:lang w:val="es-PR"/>
        </w:rPr>
        <w:t xml:space="preserve"> </w:t>
      </w:r>
      <w:r w:rsidR="0074502D">
        <w:rPr>
          <w:rFonts w:ascii="Book Antiqua" w:hAnsi="Book Antiqua"/>
          <w:bCs/>
          <w:szCs w:val="24"/>
          <w:lang w:val="es-PR"/>
        </w:rPr>
        <w:t xml:space="preserve">nuevo </w:t>
      </w:r>
      <w:r w:rsidR="002568DB">
        <w:rPr>
          <w:rFonts w:ascii="Book Antiqua" w:hAnsi="Book Antiqua"/>
          <w:bCs/>
          <w:szCs w:val="24"/>
          <w:lang w:val="es-PR"/>
        </w:rPr>
        <w:t xml:space="preserve">capital de inversión </w:t>
      </w:r>
      <w:r w:rsidR="009D50EE">
        <w:rPr>
          <w:rFonts w:ascii="Book Antiqua" w:hAnsi="Book Antiqua"/>
          <w:bCs/>
          <w:szCs w:val="24"/>
          <w:lang w:val="es-PR"/>
        </w:rPr>
        <w:t xml:space="preserve">para </w:t>
      </w:r>
      <w:r w:rsidR="00616E06">
        <w:rPr>
          <w:rFonts w:ascii="Book Antiqua" w:hAnsi="Book Antiqua"/>
          <w:bCs/>
          <w:szCs w:val="24"/>
          <w:lang w:val="es-PR"/>
        </w:rPr>
        <w:t>promover</w:t>
      </w:r>
      <w:r w:rsidR="005A3DE8">
        <w:rPr>
          <w:rFonts w:ascii="Book Antiqua" w:hAnsi="Book Antiqua"/>
          <w:bCs/>
          <w:szCs w:val="24"/>
          <w:lang w:val="es-PR"/>
        </w:rPr>
        <w:t xml:space="preserve"> el </w:t>
      </w:r>
      <w:r w:rsidR="002568DB">
        <w:rPr>
          <w:rFonts w:ascii="Book Antiqua" w:hAnsi="Book Antiqua"/>
          <w:bCs/>
          <w:szCs w:val="24"/>
          <w:lang w:val="es-PR"/>
        </w:rPr>
        <w:t xml:space="preserve">crecimiento y el </w:t>
      </w:r>
      <w:r w:rsidR="005A3DE8">
        <w:rPr>
          <w:rFonts w:ascii="Book Antiqua" w:hAnsi="Book Antiqua"/>
          <w:bCs/>
          <w:szCs w:val="24"/>
          <w:lang w:val="es-PR"/>
        </w:rPr>
        <w:t xml:space="preserve">desarrollo económico de </w:t>
      </w:r>
      <w:r w:rsidR="009D50EE">
        <w:rPr>
          <w:rFonts w:ascii="Book Antiqua" w:hAnsi="Book Antiqua"/>
          <w:bCs/>
          <w:szCs w:val="24"/>
          <w:lang w:val="es-PR"/>
        </w:rPr>
        <w:t xml:space="preserve">la Isla. </w:t>
      </w:r>
    </w:p>
    <w:p w:rsidR="002568DB" w:rsidRDefault="002568DB" w:rsidP="002568DB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</w:p>
    <w:p w:rsidR="00926A92" w:rsidRDefault="009D50EE" w:rsidP="00AA4B86">
      <w:pPr>
        <w:ind w:firstLine="720"/>
        <w:jc w:val="both"/>
        <w:rPr>
          <w:rFonts w:ascii="Book Antiqua" w:hAnsi="Book Antiqua"/>
          <w:bCs/>
          <w:i/>
          <w:szCs w:val="24"/>
          <w:lang w:val="es-ES_tradnl"/>
        </w:rPr>
      </w:pPr>
      <w:r>
        <w:rPr>
          <w:rFonts w:ascii="Book Antiqua" w:hAnsi="Book Antiqua"/>
          <w:bCs/>
          <w:szCs w:val="24"/>
          <w:lang w:val="es-ES"/>
        </w:rPr>
        <w:t xml:space="preserve">La política pública de la Ley 22-2012, conceptualiza </w:t>
      </w:r>
      <w:r w:rsidRPr="009D50EE">
        <w:rPr>
          <w:rFonts w:ascii="Book Antiqua" w:hAnsi="Book Antiqua"/>
          <w:bCs/>
          <w:szCs w:val="24"/>
          <w:lang w:val="es-PR"/>
        </w:rPr>
        <w:t>que las exenciones contributivas</w:t>
      </w:r>
      <w:r w:rsidR="00D9190B">
        <w:rPr>
          <w:rFonts w:ascii="Book Antiqua" w:hAnsi="Book Antiqua"/>
          <w:bCs/>
          <w:szCs w:val="24"/>
          <w:lang w:val="es-PR"/>
        </w:rPr>
        <w:t xml:space="preserve"> </w:t>
      </w:r>
      <w:proofErr w:type="gramStart"/>
      <w:r w:rsidR="00D9190B">
        <w:rPr>
          <w:rFonts w:ascii="Book Antiqua" w:hAnsi="Book Antiqua"/>
          <w:bCs/>
          <w:szCs w:val="24"/>
          <w:lang w:val="es-PR"/>
        </w:rPr>
        <w:t>redundaría</w:t>
      </w:r>
      <w:proofErr w:type="gramEnd"/>
      <w:r w:rsidRPr="009D50EE">
        <w:rPr>
          <w:rFonts w:ascii="Book Antiqua" w:hAnsi="Book Antiqua"/>
          <w:bCs/>
          <w:szCs w:val="24"/>
          <w:lang w:val="es-PR"/>
        </w:rPr>
        <w:t xml:space="preserve"> en una atracción de </w:t>
      </w:r>
      <w:r>
        <w:rPr>
          <w:rFonts w:ascii="Book Antiqua" w:hAnsi="Book Antiqua"/>
          <w:bCs/>
          <w:szCs w:val="24"/>
          <w:lang w:val="es-PR"/>
        </w:rPr>
        <w:t xml:space="preserve">nuevo </w:t>
      </w:r>
      <w:r w:rsidRPr="009D50EE">
        <w:rPr>
          <w:rFonts w:ascii="Book Antiqua" w:hAnsi="Book Antiqua"/>
          <w:bCs/>
          <w:szCs w:val="24"/>
          <w:lang w:val="es-PR"/>
        </w:rPr>
        <w:t xml:space="preserve">capital </w:t>
      </w:r>
      <w:r>
        <w:rPr>
          <w:rFonts w:ascii="Book Antiqua" w:hAnsi="Book Antiqua"/>
          <w:bCs/>
          <w:szCs w:val="24"/>
          <w:lang w:val="es-PR"/>
        </w:rPr>
        <w:t xml:space="preserve">e inversiones </w:t>
      </w:r>
      <w:r w:rsidRPr="009D50EE">
        <w:rPr>
          <w:rFonts w:ascii="Book Antiqua" w:hAnsi="Book Antiqua"/>
          <w:bCs/>
          <w:szCs w:val="24"/>
          <w:lang w:val="es-PR"/>
        </w:rPr>
        <w:t>que garantiza el desarrollo económico</w:t>
      </w:r>
      <w:r w:rsidR="00D9190B">
        <w:rPr>
          <w:rFonts w:ascii="Book Antiqua" w:hAnsi="Book Antiqua"/>
          <w:bCs/>
          <w:szCs w:val="24"/>
          <w:lang w:val="es-PR"/>
        </w:rPr>
        <w:t xml:space="preserve"> de Puerto Rico. </w:t>
      </w:r>
      <w:r>
        <w:rPr>
          <w:rFonts w:ascii="Book Antiqua" w:hAnsi="Book Antiqua"/>
          <w:bCs/>
          <w:szCs w:val="24"/>
          <w:lang w:val="es-ES"/>
        </w:rPr>
        <w:t xml:space="preserve"> </w:t>
      </w:r>
      <w:r w:rsidR="00D9190B">
        <w:rPr>
          <w:rFonts w:ascii="Book Antiqua" w:hAnsi="Book Antiqua"/>
          <w:bCs/>
          <w:szCs w:val="24"/>
          <w:lang w:val="es-ES"/>
        </w:rPr>
        <w:t xml:space="preserve">Esta legislación, </w:t>
      </w:r>
      <w:r w:rsidR="0074502D">
        <w:rPr>
          <w:rFonts w:ascii="Book Antiqua" w:hAnsi="Book Antiqua"/>
          <w:bCs/>
          <w:szCs w:val="24"/>
          <w:lang w:val="es-ES_tradnl"/>
        </w:rPr>
        <w:t>junto a otros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incentivos</w:t>
      </w:r>
      <w:r w:rsidR="00B90F2A">
        <w:rPr>
          <w:rFonts w:ascii="Book Antiqua" w:hAnsi="Book Antiqua"/>
          <w:bCs/>
          <w:szCs w:val="24"/>
          <w:lang w:val="es-ES_tradnl"/>
        </w:rPr>
        <w:t>,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</w:t>
      </w:r>
      <w:r w:rsidR="00D9190B">
        <w:rPr>
          <w:rFonts w:ascii="Book Antiqua" w:hAnsi="Book Antiqua"/>
          <w:bCs/>
          <w:szCs w:val="24"/>
          <w:lang w:val="es-ES_tradnl"/>
        </w:rPr>
        <w:t xml:space="preserve">tales </w:t>
      </w:r>
      <w:r w:rsidR="00D9190B">
        <w:rPr>
          <w:rFonts w:ascii="Book Antiqua" w:hAnsi="Book Antiqua"/>
          <w:bCs/>
          <w:szCs w:val="24"/>
          <w:lang w:val="es-ES_tradnl"/>
        </w:rPr>
        <w:lastRenderedPageBreak/>
        <w:t xml:space="preserve">como los promulgados en la </w:t>
      </w:r>
      <w:r w:rsidR="0017713B">
        <w:rPr>
          <w:rFonts w:ascii="Book Antiqua" w:hAnsi="Book Antiqua"/>
          <w:bCs/>
          <w:szCs w:val="24"/>
          <w:lang w:val="es-ES_tradnl"/>
        </w:rPr>
        <w:t xml:space="preserve">Ley 20-2012, conocida como la </w:t>
      </w:r>
      <w:r w:rsidR="00FB6FF9" w:rsidRPr="00FB6FF9">
        <w:rPr>
          <w:rFonts w:ascii="Book Antiqua" w:hAnsi="Book Antiqua"/>
          <w:bCs/>
          <w:szCs w:val="24"/>
          <w:lang w:val="es-ES_tradnl"/>
        </w:rPr>
        <w:t>“Ley para Fomentar la Exportación de Servicios”</w:t>
      </w:r>
      <w:r w:rsidR="00C75F44">
        <w:rPr>
          <w:rFonts w:ascii="Book Antiqua" w:hAnsi="Book Antiqua"/>
          <w:bCs/>
          <w:szCs w:val="24"/>
          <w:lang w:val="es-ES_tradnl"/>
        </w:rPr>
        <w:t>, crearía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el </w:t>
      </w:r>
      <w:r w:rsidR="0074502D">
        <w:rPr>
          <w:rFonts w:ascii="Book Antiqua" w:hAnsi="Book Antiqua"/>
          <w:bCs/>
          <w:szCs w:val="24"/>
          <w:lang w:val="es-ES_tradnl"/>
        </w:rPr>
        <w:t>“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escenario </w:t>
      </w:r>
      <w:r w:rsidR="00D9190B">
        <w:rPr>
          <w:rFonts w:ascii="Book Antiqua" w:hAnsi="Book Antiqua"/>
          <w:bCs/>
          <w:szCs w:val="24"/>
          <w:lang w:val="es-ES_tradnl"/>
        </w:rPr>
        <w:t>ideal</w:t>
      </w:r>
      <w:r w:rsidR="0074502D">
        <w:rPr>
          <w:rFonts w:ascii="Book Antiqua" w:hAnsi="Book Antiqua"/>
          <w:bCs/>
          <w:szCs w:val="24"/>
          <w:lang w:val="es-ES_tradnl"/>
        </w:rPr>
        <w:t>”</w:t>
      </w:r>
      <w:r w:rsidR="00050E5E" w:rsidRPr="00050E5E">
        <w:rPr>
          <w:rFonts w:ascii="Book Antiqua" w:hAnsi="Book Antiqua"/>
          <w:bCs/>
          <w:szCs w:val="24"/>
          <w:lang w:val="es-ES_tradnl"/>
        </w:rPr>
        <w:t xml:space="preserve"> para</w:t>
      </w:r>
      <w:r w:rsidR="00926A92">
        <w:rPr>
          <w:rFonts w:ascii="Book Antiqua" w:hAnsi="Book Antiqua"/>
          <w:bCs/>
          <w:szCs w:val="24"/>
          <w:lang w:val="es-ES_tradnl"/>
        </w:rPr>
        <w:t xml:space="preserve">: 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t>la atracción de</w:t>
      </w:r>
      <w:r w:rsidR="0074502D">
        <w:rPr>
          <w:rFonts w:ascii="Book Antiqua" w:hAnsi="Book Antiqua"/>
          <w:bCs/>
          <w:szCs w:val="24"/>
          <w:lang w:val="es-ES_tradnl"/>
        </w:rPr>
        <w:t xml:space="preserve"> 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t>talento en capit</w:t>
      </w:r>
      <w:r w:rsidR="00C75F44" w:rsidRPr="0074502D">
        <w:rPr>
          <w:rFonts w:ascii="Book Antiqua" w:hAnsi="Book Antiqua"/>
          <w:bCs/>
          <w:i/>
          <w:szCs w:val="24"/>
          <w:lang w:val="es-ES_tradnl"/>
        </w:rPr>
        <w:t>al humano que residía</w:t>
      </w:r>
      <w:r w:rsidR="00050E5E" w:rsidRPr="0074502D">
        <w:rPr>
          <w:rFonts w:ascii="Book Antiqua" w:hAnsi="Book Antiqua"/>
          <w:bCs/>
          <w:i/>
          <w:szCs w:val="24"/>
          <w:lang w:val="es-ES_tradnl"/>
        </w:rPr>
        <w:t xml:space="preserve"> fuera de la isla y que encontrarían los incentivos contributivos adecuados y el capital e inversiones idóneos para establecerse en Puerto Rico y desarrollarse como profesionales</w:t>
      </w:r>
      <w:r w:rsidR="00D9190B">
        <w:rPr>
          <w:rFonts w:ascii="Book Antiqua" w:hAnsi="Book Antiqua"/>
          <w:bCs/>
          <w:i/>
          <w:szCs w:val="24"/>
          <w:lang w:val="es-ES_tradnl"/>
        </w:rPr>
        <w:t>”</w:t>
      </w:r>
      <w:r w:rsidR="00926A92">
        <w:rPr>
          <w:rFonts w:ascii="Book Antiqua" w:hAnsi="Book Antiqua"/>
          <w:bCs/>
          <w:i/>
          <w:szCs w:val="24"/>
          <w:lang w:val="es-ES_tradnl"/>
        </w:rPr>
        <w:t xml:space="preserve">, </w:t>
      </w:r>
      <w:r w:rsidR="00926A92">
        <w:rPr>
          <w:rFonts w:ascii="Book Antiqua" w:hAnsi="Book Antiqua"/>
          <w:bCs/>
          <w:szCs w:val="24"/>
          <w:lang w:val="es-ES_tradnl"/>
        </w:rPr>
        <w:t>según surge de la exposición de motivos de la Ley 20-2012.</w:t>
      </w:r>
      <w:r w:rsidR="00926A92">
        <w:rPr>
          <w:rFonts w:ascii="Book Antiqua" w:hAnsi="Book Antiqua"/>
          <w:bCs/>
          <w:i/>
          <w:szCs w:val="24"/>
          <w:lang w:val="es-ES_tradnl"/>
        </w:rPr>
        <w:t xml:space="preserve"> </w:t>
      </w:r>
    </w:p>
    <w:p w:rsidR="00926A92" w:rsidRDefault="00926A92" w:rsidP="00AA4B86">
      <w:pPr>
        <w:ind w:firstLine="720"/>
        <w:jc w:val="both"/>
        <w:rPr>
          <w:rFonts w:ascii="Book Antiqua" w:hAnsi="Book Antiqua"/>
          <w:bCs/>
          <w:i/>
          <w:szCs w:val="24"/>
          <w:lang w:val="es-ES_tradnl"/>
        </w:rPr>
      </w:pPr>
    </w:p>
    <w:p w:rsidR="00050E5E" w:rsidRDefault="00926A92" w:rsidP="00FC0DCA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ES_tradnl"/>
        </w:rPr>
        <w:t>N</w:t>
      </w:r>
      <w:r w:rsidR="00AA4B86">
        <w:rPr>
          <w:rFonts w:ascii="Book Antiqua" w:hAnsi="Book Antiqua"/>
          <w:bCs/>
          <w:szCs w:val="24"/>
          <w:lang w:val="es-ES_tradnl"/>
        </w:rPr>
        <w:t xml:space="preserve">o obstante, </w:t>
      </w:r>
      <w:r w:rsidR="00AA4B86">
        <w:rPr>
          <w:rFonts w:ascii="Book Antiqua" w:hAnsi="Book Antiqua"/>
          <w:bCs/>
          <w:szCs w:val="24"/>
          <w:lang w:val="es-PR"/>
        </w:rPr>
        <w:t xml:space="preserve">estudios encomendados sobre </w:t>
      </w:r>
      <w:r w:rsidR="00AA4B86" w:rsidRPr="00AA4B86">
        <w:rPr>
          <w:rFonts w:ascii="Book Antiqua" w:hAnsi="Book Antiqua"/>
          <w:bCs/>
          <w:szCs w:val="24"/>
          <w:lang w:val="es-PR"/>
        </w:rPr>
        <w:t xml:space="preserve">el tema </w:t>
      </w:r>
      <w:r w:rsidR="00AA4B86">
        <w:rPr>
          <w:rFonts w:ascii="Book Antiqua" w:hAnsi="Book Antiqua"/>
          <w:bCs/>
          <w:szCs w:val="24"/>
          <w:lang w:val="es-PR"/>
        </w:rPr>
        <w:t>por agencias gubernamentales y</w:t>
      </w:r>
      <w:r>
        <w:rPr>
          <w:rFonts w:ascii="Book Antiqua" w:hAnsi="Book Antiqua"/>
          <w:bCs/>
          <w:szCs w:val="24"/>
          <w:lang w:val="es-PR"/>
        </w:rPr>
        <w:t xml:space="preserve"> otras entidades, han  </w:t>
      </w:r>
      <w:r w:rsidR="00AA4B86" w:rsidRPr="00AA4B86">
        <w:rPr>
          <w:rFonts w:ascii="Book Antiqua" w:hAnsi="Book Antiqua"/>
          <w:bCs/>
          <w:szCs w:val="24"/>
          <w:lang w:val="es-PR"/>
        </w:rPr>
        <w:t xml:space="preserve">planteado la necesidad de analizar exhaustivamente </w:t>
      </w:r>
      <w:r>
        <w:rPr>
          <w:rFonts w:ascii="Book Antiqua" w:hAnsi="Book Antiqua"/>
          <w:bCs/>
          <w:szCs w:val="24"/>
          <w:lang w:val="es-PR"/>
        </w:rPr>
        <w:t xml:space="preserve">las exenciones contributivas y los </w:t>
      </w:r>
      <w:r w:rsidR="00AA4B86" w:rsidRPr="00AA4B86">
        <w:rPr>
          <w:rFonts w:ascii="Book Antiqua" w:hAnsi="Book Antiqua"/>
          <w:bCs/>
          <w:szCs w:val="24"/>
          <w:lang w:val="es-PR"/>
        </w:rPr>
        <w:t>decretos</w:t>
      </w:r>
      <w:r>
        <w:rPr>
          <w:rFonts w:ascii="Book Antiqua" w:hAnsi="Book Antiqua"/>
          <w:bCs/>
          <w:szCs w:val="24"/>
          <w:lang w:val="es-PR"/>
        </w:rPr>
        <w:t xml:space="preserve"> </w:t>
      </w:r>
      <w:r w:rsidR="00AA4B86" w:rsidRPr="00AA4B86">
        <w:rPr>
          <w:rFonts w:ascii="Book Antiqua" w:hAnsi="Book Antiqua"/>
          <w:bCs/>
          <w:szCs w:val="24"/>
          <w:lang w:val="es-PR"/>
        </w:rPr>
        <w:t>otorgados p</w:t>
      </w:r>
      <w:r>
        <w:rPr>
          <w:rFonts w:ascii="Book Antiqua" w:hAnsi="Book Antiqua"/>
          <w:bCs/>
          <w:szCs w:val="24"/>
          <w:lang w:val="es-PR"/>
        </w:rPr>
        <w:t>a</w:t>
      </w:r>
      <w:r w:rsidR="00AA4B86" w:rsidRPr="00AA4B86">
        <w:rPr>
          <w:rFonts w:ascii="Book Antiqua" w:hAnsi="Book Antiqua"/>
          <w:bCs/>
          <w:szCs w:val="24"/>
          <w:lang w:val="es-PR"/>
        </w:rPr>
        <w:t>r</w:t>
      </w:r>
      <w:r>
        <w:rPr>
          <w:rFonts w:ascii="Book Antiqua" w:hAnsi="Book Antiqua"/>
          <w:bCs/>
          <w:szCs w:val="24"/>
          <w:lang w:val="es-PR"/>
        </w:rPr>
        <w:t xml:space="preserve">a garantizar la transparencia en los procesos de otorgamiento, así como en la </w:t>
      </w:r>
      <w:r w:rsidR="00AA4B86" w:rsidRPr="00AA4B86">
        <w:rPr>
          <w:rFonts w:ascii="Book Antiqua" w:hAnsi="Book Antiqua"/>
          <w:bCs/>
          <w:szCs w:val="24"/>
          <w:lang w:val="es-PR"/>
        </w:rPr>
        <w:t>necesidad de imponer requisitos más específicos para que las empresas puedan beneficiarse de l</w:t>
      </w:r>
      <w:r>
        <w:rPr>
          <w:rFonts w:ascii="Book Antiqua" w:hAnsi="Book Antiqua"/>
          <w:bCs/>
          <w:szCs w:val="24"/>
          <w:lang w:val="es-PR"/>
        </w:rPr>
        <w:t xml:space="preserve">os mismos. </w:t>
      </w:r>
    </w:p>
    <w:p w:rsidR="00926A92" w:rsidRDefault="00926A92" w:rsidP="00FC0DCA">
      <w:pPr>
        <w:ind w:firstLine="720"/>
        <w:jc w:val="both"/>
        <w:rPr>
          <w:rFonts w:ascii="Book Antiqua" w:hAnsi="Book Antiqua"/>
          <w:bCs/>
          <w:szCs w:val="24"/>
          <w:lang w:val="es-ES_tradnl"/>
        </w:rPr>
      </w:pPr>
    </w:p>
    <w:p w:rsidR="00050E5E" w:rsidRDefault="00926A92" w:rsidP="00461B6D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PR"/>
        </w:rPr>
        <w:t xml:space="preserve">A pesar del </w:t>
      </w:r>
      <w:r w:rsidR="0040473A">
        <w:rPr>
          <w:rFonts w:ascii="Book Antiqua" w:hAnsi="Book Antiqua"/>
          <w:bCs/>
          <w:szCs w:val="24"/>
          <w:lang w:val="es-PR"/>
        </w:rPr>
        <w:t>argumento de</w:t>
      </w:r>
      <w:r w:rsidR="00D9190B">
        <w:rPr>
          <w:rFonts w:ascii="Book Antiqua" w:hAnsi="Book Antiqua"/>
          <w:bCs/>
          <w:szCs w:val="24"/>
          <w:lang w:val="es-PR"/>
        </w:rPr>
        <w:t xml:space="preserve"> </w:t>
      </w:r>
      <w:r w:rsidR="0040473A">
        <w:rPr>
          <w:rFonts w:ascii="Book Antiqua" w:hAnsi="Book Antiqua"/>
          <w:bCs/>
          <w:szCs w:val="24"/>
          <w:lang w:val="es-PR"/>
        </w:rPr>
        <w:t>que</w:t>
      </w:r>
      <w:r w:rsidR="00D9190B">
        <w:rPr>
          <w:rFonts w:ascii="Book Antiqua" w:hAnsi="Book Antiqua"/>
          <w:bCs/>
          <w:szCs w:val="24"/>
          <w:lang w:val="es-PR"/>
        </w:rPr>
        <w:t xml:space="preserve"> aun cuando </w:t>
      </w:r>
      <w:r w:rsidR="00050E5E" w:rsidRPr="00050E5E">
        <w:rPr>
          <w:rFonts w:ascii="Book Antiqua" w:hAnsi="Book Antiqua"/>
          <w:bCs/>
          <w:szCs w:val="24"/>
          <w:lang w:val="es-PR"/>
        </w:rPr>
        <w:t>el ingreso de las inversiones</w:t>
      </w:r>
      <w:r w:rsidR="00461B6D">
        <w:rPr>
          <w:rFonts w:ascii="Book Antiqua" w:hAnsi="Book Antiqua"/>
          <w:bCs/>
          <w:szCs w:val="24"/>
          <w:lang w:val="es-PR"/>
        </w:rPr>
        <w:t xml:space="preserve"> que se crearían bajo </w:t>
      </w:r>
      <w:r w:rsidR="00C76E19">
        <w:rPr>
          <w:rFonts w:ascii="Book Antiqua" w:hAnsi="Book Antiqua"/>
          <w:bCs/>
          <w:szCs w:val="24"/>
          <w:lang w:val="es-PR"/>
        </w:rPr>
        <w:t>la Ley 22-2012 estaría</w:t>
      </w:r>
      <w:r w:rsidR="00050E5E" w:rsidRPr="00050E5E">
        <w:rPr>
          <w:rFonts w:ascii="Book Antiqua" w:hAnsi="Book Antiqua"/>
          <w:bCs/>
          <w:szCs w:val="24"/>
          <w:lang w:val="es-PR"/>
        </w:rPr>
        <w:t xml:space="preserve"> exento del pago de contribuciones sobre ingresos en Puerto Rico, </w:t>
      </w:r>
      <w:r>
        <w:rPr>
          <w:rFonts w:ascii="Book Antiqua" w:hAnsi="Book Antiqua"/>
          <w:bCs/>
          <w:szCs w:val="24"/>
          <w:lang w:val="es-PR"/>
        </w:rPr>
        <w:t xml:space="preserve">el Gobierno de Puerto Rico aventuró a que </w:t>
      </w:r>
      <w:r w:rsidR="00050E5E" w:rsidRPr="00050E5E">
        <w:rPr>
          <w:rFonts w:ascii="Book Antiqua" w:hAnsi="Book Antiqua"/>
          <w:bCs/>
          <w:szCs w:val="24"/>
          <w:lang w:val="es-PR"/>
        </w:rPr>
        <w:t>la</w:t>
      </w:r>
      <w:r w:rsidR="00D9190B">
        <w:rPr>
          <w:rFonts w:ascii="Book Antiqua" w:hAnsi="Book Antiqua"/>
          <w:bCs/>
          <w:szCs w:val="24"/>
          <w:lang w:val="es-PR"/>
        </w:rPr>
        <w:t xml:space="preserve"> mera</w:t>
      </w:r>
      <w:r w:rsidR="00050E5E" w:rsidRPr="00050E5E">
        <w:rPr>
          <w:rFonts w:ascii="Book Antiqua" w:hAnsi="Book Antiqua"/>
          <w:bCs/>
          <w:szCs w:val="24"/>
          <w:lang w:val="es-PR"/>
        </w:rPr>
        <w:t xml:space="preserve"> presencia de </w:t>
      </w:r>
      <w:r w:rsidR="00FA1351">
        <w:rPr>
          <w:rFonts w:ascii="Book Antiqua" w:hAnsi="Book Antiqua"/>
          <w:bCs/>
          <w:szCs w:val="24"/>
          <w:lang w:val="es-PR"/>
        </w:rPr>
        <w:t>estos inversionistas</w:t>
      </w:r>
      <w:r w:rsidR="00050E5E" w:rsidRPr="00050E5E">
        <w:rPr>
          <w:rFonts w:ascii="Book Antiqua" w:hAnsi="Book Antiqua"/>
          <w:bCs/>
          <w:szCs w:val="24"/>
          <w:lang w:val="es-PR"/>
        </w:rPr>
        <w:t xml:space="preserve"> en la Isla </w:t>
      </w:r>
      <w:r>
        <w:rPr>
          <w:rFonts w:ascii="Book Antiqua" w:hAnsi="Book Antiqua"/>
          <w:bCs/>
          <w:szCs w:val="24"/>
          <w:lang w:val="es-PR"/>
        </w:rPr>
        <w:t>tendría un efecto positivo</w:t>
      </w:r>
      <w:r w:rsidR="005558E2">
        <w:rPr>
          <w:rFonts w:ascii="Book Antiqua" w:hAnsi="Book Antiqua"/>
          <w:bCs/>
          <w:szCs w:val="24"/>
          <w:lang w:val="es-PR"/>
        </w:rPr>
        <w:t xml:space="preserve"> en la economía en general mediante su </w:t>
      </w:r>
      <w:r w:rsidR="00050E5E" w:rsidRPr="00050E5E">
        <w:rPr>
          <w:rFonts w:ascii="Book Antiqua" w:hAnsi="Book Antiqua"/>
          <w:bCs/>
          <w:szCs w:val="24"/>
          <w:lang w:val="es-PR"/>
        </w:rPr>
        <w:t>aporta</w:t>
      </w:r>
      <w:r w:rsidR="005558E2">
        <w:rPr>
          <w:rFonts w:ascii="Book Antiqua" w:hAnsi="Book Antiqua"/>
          <w:bCs/>
          <w:szCs w:val="24"/>
          <w:lang w:val="es-PR"/>
        </w:rPr>
        <w:t xml:space="preserve">ción a través de </w:t>
      </w:r>
      <w:r w:rsidR="00AA4B86">
        <w:rPr>
          <w:rFonts w:ascii="Book Antiqua" w:hAnsi="Book Antiqua"/>
          <w:bCs/>
          <w:szCs w:val="24"/>
          <w:lang w:val="es-PR"/>
        </w:rPr>
        <w:t xml:space="preserve">la adquisición </w:t>
      </w:r>
      <w:r w:rsidR="00050E5E" w:rsidRPr="00050E5E">
        <w:rPr>
          <w:rFonts w:ascii="Book Antiqua" w:hAnsi="Book Antiqua"/>
          <w:bCs/>
          <w:szCs w:val="24"/>
          <w:lang w:val="es-PR"/>
        </w:rPr>
        <w:t>bienes, servicios, productos, viviendas, entre otros</w:t>
      </w:r>
      <w:r w:rsidR="005558E2">
        <w:rPr>
          <w:rFonts w:ascii="Book Antiqua" w:hAnsi="Book Antiqua"/>
          <w:bCs/>
          <w:szCs w:val="24"/>
          <w:lang w:val="es-PR"/>
        </w:rPr>
        <w:t xml:space="preserve">. </w:t>
      </w:r>
      <w:r>
        <w:rPr>
          <w:rFonts w:ascii="Book Antiqua" w:hAnsi="Book Antiqua"/>
          <w:bCs/>
          <w:szCs w:val="24"/>
          <w:lang w:val="es-PR"/>
        </w:rPr>
        <w:t xml:space="preserve"> </w:t>
      </w:r>
      <w:r w:rsidR="005558E2">
        <w:rPr>
          <w:rFonts w:ascii="Book Antiqua" w:hAnsi="Book Antiqua"/>
          <w:bCs/>
          <w:szCs w:val="24"/>
          <w:lang w:val="es-PR"/>
        </w:rPr>
        <w:t xml:space="preserve">Además, también se </w:t>
      </w:r>
      <w:r w:rsidR="0040473A">
        <w:rPr>
          <w:rFonts w:ascii="Book Antiqua" w:hAnsi="Book Antiqua"/>
          <w:bCs/>
          <w:szCs w:val="24"/>
          <w:lang w:val="es-PR"/>
        </w:rPr>
        <w:t>establec</w:t>
      </w:r>
      <w:r w:rsidR="005558E2">
        <w:rPr>
          <w:rFonts w:ascii="Book Antiqua" w:hAnsi="Book Antiqua"/>
          <w:bCs/>
          <w:szCs w:val="24"/>
          <w:lang w:val="es-PR"/>
        </w:rPr>
        <w:t>ió la explicación</w:t>
      </w:r>
      <w:r w:rsidR="0040473A">
        <w:rPr>
          <w:rFonts w:ascii="Book Antiqua" w:hAnsi="Book Antiqua"/>
          <w:bCs/>
          <w:szCs w:val="24"/>
          <w:lang w:val="es-PR"/>
        </w:rPr>
        <w:t xml:space="preserve"> de que </w:t>
      </w:r>
      <w:r w:rsidR="00461B6D">
        <w:rPr>
          <w:rFonts w:ascii="Book Antiqua" w:hAnsi="Book Antiqua"/>
          <w:bCs/>
          <w:szCs w:val="24"/>
          <w:lang w:val="es-PR"/>
        </w:rPr>
        <w:t>e</w:t>
      </w:r>
      <w:r w:rsidR="00050E5E" w:rsidRPr="00050E5E">
        <w:rPr>
          <w:rFonts w:ascii="Book Antiqua" w:hAnsi="Book Antiqua"/>
          <w:bCs/>
          <w:szCs w:val="24"/>
          <w:lang w:val="es-PR"/>
        </w:rPr>
        <w:t>l ingreso devengado</w:t>
      </w:r>
      <w:r w:rsidR="005558E2">
        <w:rPr>
          <w:rFonts w:ascii="Book Antiqua" w:hAnsi="Book Antiqua"/>
          <w:bCs/>
          <w:szCs w:val="24"/>
          <w:lang w:val="es-PR"/>
        </w:rPr>
        <w:t xml:space="preserve"> por éstos como </w:t>
      </w:r>
      <w:r w:rsidR="00050E5E" w:rsidRPr="00050E5E">
        <w:rPr>
          <w:rFonts w:ascii="Book Antiqua" w:hAnsi="Book Antiqua"/>
          <w:bCs/>
          <w:szCs w:val="24"/>
          <w:lang w:val="es-PR"/>
        </w:rPr>
        <w:t>producto de sus inversiones, estaría sujeto al pago de contribuciones sobre ingresos en Puerto Rico</w:t>
      </w:r>
      <w:r w:rsidR="00050E5E">
        <w:rPr>
          <w:rFonts w:ascii="Book Antiqua" w:hAnsi="Book Antiqua"/>
          <w:bCs/>
          <w:szCs w:val="24"/>
          <w:lang w:val="es-PR"/>
        </w:rPr>
        <w:t>.</w:t>
      </w:r>
    </w:p>
    <w:p w:rsidR="00050E5E" w:rsidRDefault="00050E5E" w:rsidP="00FC0DCA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</w:p>
    <w:p w:rsidR="005558E2" w:rsidRDefault="00B0371A" w:rsidP="00461B6D">
      <w:pPr>
        <w:ind w:firstLine="720"/>
        <w:jc w:val="both"/>
        <w:rPr>
          <w:rFonts w:ascii="Book Antiqua" w:hAnsi="Book Antiqua"/>
          <w:bCs/>
          <w:szCs w:val="24"/>
          <w:lang w:val="es-PR"/>
        </w:rPr>
      </w:pPr>
      <w:r>
        <w:rPr>
          <w:rFonts w:ascii="Book Antiqua" w:hAnsi="Book Antiqua"/>
          <w:bCs/>
          <w:szCs w:val="24"/>
          <w:lang w:val="es-PR"/>
        </w:rPr>
        <w:t>Esta Asamblea Legislativa</w:t>
      </w:r>
      <w:r w:rsidR="001F1E29">
        <w:rPr>
          <w:rFonts w:ascii="Book Antiqua" w:hAnsi="Book Antiqua"/>
          <w:bCs/>
          <w:szCs w:val="24"/>
          <w:lang w:val="es-PR"/>
        </w:rPr>
        <w:t xml:space="preserve"> c</w:t>
      </w:r>
      <w:r w:rsidR="00461B6D">
        <w:rPr>
          <w:rFonts w:ascii="Book Antiqua" w:hAnsi="Book Antiqua"/>
          <w:bCs/>
          <w:szCs w:val="24"/>
          <w:lang w:val="es-PR"/>
        </w:rPr>
        <w:t>on el</w:t>
      </w:r>
      <w:r w:rsidR="005558E2">
        <w:rPr>
          <w:rFonts w:ascii="Book Antiqua" w:hAnsi="Book Antiqua"/>
          <w:bCs/>
          <w:szCs w:val="24"/>
          <w:lang w:val="es-PR"/>
        </w:rPr>
        <w:t xml:space="preserve"> firme </w:t>
      </w:r>
      <w:r w:rsidR="00461B6D">
        <w:rPr>
          <w:rFonts w:ascii="Book Antiqua" w:hAnsi="Book Antiqua"/>
          <w:bCs/>
          <w:szCs w:val="24"/>
          <w:lang w:val="es-PR"/>
        </w:rPr>
        <w:t xml:space="preserve">propósito de </w:t>
      </w:r>
      <w:r>
        <w:rPr>
          <w:rFonts w:ascii="Book Antiqua" w:hAnsi="Book Antiqua"/>
          <w:bCs/>
          <w:szCs w:val="24"/>
          <w:lang w:val="es-PR"/>
        </w:rPr>
        <w:t>implementar</w:t>
      </w:r>
      <w:r w:rsidR="00461B6D">
        <w:rPr>
          <w:rFonts w:ascii="Book Antiqua" w:hAnsi="Book Antiqua"/>
          <w:bCs/>
          <w:szCs w:val="24"/>
          <w:lang w:val="es-PR"/>
        </w:rPr>
        <w:t xml:space="preserve"> </w:t>
      </w:r>
      <w:r w:rsidR="005558E2">
        <w:rPr>
          <w:rFonts w:ascii="Book Antiqua" w:hAnsi="Book Antiqua"/>
          <w:bCs/>
          <w:szCs w:val="24"/>
          <w:lang w:val="es-PR"/>
        </w:rPr>
        <w:t xml:space="preserve">una </w:t>
      </w:r>
      <w:r w:rsidR="00461B6D">
        <w:rPr>
          <w:rFonts w:ascii="Book Antiqua" w:hAnsi="Book Antiqua"/>
          <w:bCs/>
          <w:szCs w:val="24"/>
          <w:lang w:val="es-PR"/>
        </w:rPr>
        <w:t xml:space="preserve">política pública </w:t>
      </w:r>
      <w:r w:rsidR="005558E2">
        <w:rPr>
          <w:rFonts w:ascii="Book Antiqua" w:hAnsi="Book Antiqua"/>
          <w:bCs/>
          <w:szCs w:val="24"/>
          <w:lang w:val="es-PR"/>
        </w:rPr>
        <w:t xml:space="preserve">sana y transparente, que </w:t>
      </w:r>
      <w:r w:rsidR="00461B6D">
        <w:rPr>
          <w:rFonts w:ascii="Book Antiqua" w:hAnsi="Book Antiqua"/>
          <w:bCs/>
          <w:szCs w:val="24"/>
          <w:lang w:val="es-PR"/>
        </w:rPr>
        <w:t xml:space="preserve"> redunde en beneficio de todos</w:t>
      </w:r>
      <w:r>
        <w:rPr>
          <w:rFonts w:ascii="Book Antiqua" w:hAnsi="Book Antiqua"/>
          <w:bCs/>
          <w:szCs w:val="24"/>
          <w:lang w:val="es-PR"/>
        </w:rPr>
        <w:t xml:space="preserve"> los ciudadanos</w:t>
      </w:r>
      <w:r w:rsidR="00461B6D">
        <w:rPr>
          <w:rFonts w:ascii="Book Antiqua" w:hAnsi="Book Antiqua"/>
          <w:bCs/>
          <w:szCs w:val="24"/>
          <w:lang w:val="es-PR"/>
        </w:rPr>
        <w:t xml:space="preserve"> y </w:t>
      </w:r>
      <w:r w:rsidR="003C0318">
        <w:rPr>
          <w:rFonts w:ascii="Book Antiqua" w:hAnsi="Book Antiqua"/>
          <w:bCs/>
          <w:szCs w:val="24"/>
          <w:lang w:val="es-PR"/>
        </w:rPr>
        <w:t>propicie</w:t>
      </w:r>
      <w:r w:rsidR="001F1E29">
        <w:rPr>
          <w:rFonts w:ascii="Book Antiqua" w:hAnsi="Book Antiqua"/>
          <w:bCs/>
          <w:szCs w:val="24"/>
          <w:lang w:val="es-PR"/>
        </w:rPr>
        <w:t xml:space="preserve"> </w:t>
      </w:r>
      <w:r w:rsidR="00461B6D">
        <w:rPr>
          <w:rFonts w:ascii="Book Antiqua" w:hAnsi="Book Antiqua"/>
          <w:bCs/>
          <w:szCs w:val="24"/>
          <w:lang w:val="es-PR"/>
        </w:rPr>
        <w:t>el crecimiento y desarrollo económico de Puerto Rico</w:t>
      </w:r>
      <w:r w:rsidR="00FC15AF">
        <w:rPr>
          <w:rFonts w:ascii="Book Antiqua" w:hAnsi="Book Antiqua"/>
          <w:bCs/>
          <w:szCs w:val="24"/>
          <w:lang w:val="es-PR"/>
        </w:rPr>
        <w:t>,</w:t>
      </w:r>
      <w:r w:rsidR="00461B6D">
        <w:rPr>
          <w:rFonts w:ascii="Book Antiqua" w:hAnsi="Book Antiqua"/>
          <w:bCs/>
          <w:szCs w:val="24"/>
          <w:lang w:val="es-PR"/>
        </w:rPr>
        <w:t xml:space="preserve"> </w:t>
      </w:r>
      <w:r>
        <w:rPr>
          <w:rFonts w:ascii="Book Antiqua" w:hAnsi="Book Antiqua"/>
          <w:bCs/>
          <w:szCs w:val="24"/>
          <w:lang w:val="es-PR"/>
        </w:rPr>
        <w:t xml:space="preserve">y </w:t>
      </w:r>
      <w:r w:rsidR="001F1E29">
        <w:rPr>
          <w:rFonts w:ascii="Book Antiqua" w:hAnsi="Book Antiqua"/>
          <w:bCs/>
          <w:szCs w:val="24"/>
          <w:lang w:val="es-PR"/>
        </w:rPr>
        <w:t>cumpliendo</w:t>
      </w:r>
      <w:r w:rsidR="00461B6D">
        <w:rPr>
          <w:rFonts w:ascii="Book Antiqua" w:hAnsi="Book Antiqua"/>
          <w:bCs/>
          <w:szCs w:val="24"/>
          <w:lang w:val="es-PR"/>
        </w:rPr>
        <w:t xml:space="preserve"> con</w:t>
      </w:r>
      <w:r w:rsidR="00461B6D" w:rsidRPr="00461B6D">
        <w:rPr>
          <w:rFonts w:ascii="Book Antiqua" w:hAnsi="Book Antiqua"/>
          <w:bCs/>
          <w:szCs w:val="24"/>
          <w:lang w:val="es-ES"/>
        </w:rPr>
        <w:t xml:space="preserve"> </w:t>
      </w:r>
      <w:r w:rsidR="005558E2">
        <w:rPr>
          <w:rFonts w:ascii="Book Antiqua" w:hAnsi="Book Antiqua"/>
          <w:bCs/>
          <w:szCs w:val="24"/>
          <w:lang w:val="es-ES"/>
        </w:rPr>
        <w:t>su</w:t>
      </w:r>
      <w:r w:rsidR="00461B6D" w:rsidRPr="00461B6D">
        <w:rPr>
          <w:rFonts w:ascii="Book Antiqua" w:hAnsi="Book Antiqua"/>
          <w:bCs/>
          <w:szCs w:val="24"/>
          <w:lang w:val="es-ES"/>
        </w:rPr>
        <w:t xml:space="preserve"> ineludible responsabilidad </w:t>
      </w:r>
      <w:r w:rsidR="009B2D38">
        <w:rPr>
          <w:rFonts w:ascii="Book Antiqua" w:hAnsi="Book Antiqua"/>
          <w:bCs/>
          <w:szCs w:val="24"/>
          <w:lang w:val="es-ES"/>
        </w:rPr>
        <w:t xml:space="preserve">de fiscalizar </w:t>
      </w:r>
      <w:r w:rsidR="005558E2">
        <w:rPr>
          <w:rFonts w:ascii="Book Antiqua" w:hAnsi="Book Antiqua"/>
          <w:bCs/>
          <w:szCs w:val="24"/>
          <w:lang w:val="es-ES"/>
        </w:rPr>
        <w:t>a</w:t>
      </w:r>
      <w:r w:rsidR="009B2D38">
        <w:rPr>
          <w:rFonts w:ascii="Book Antiqua" w:hAnsi="Book Antiqua"/>
          <w:bCs/>
          <w:szCs w:val="24"/>
          <w:lang w:val="es-ES"/>
        </w:rPr>
        <w:t>l gobierno</w:t>
      </w:r>
      <w:r w:rsidR="001F1E29">
        <w:rPr>
          <w:rFonts w:ascii="Book Antiqua" w:hAnsi="Book Antiqua"/>
          <w:bCs/>
          <w:szCs w:val="24"/>
          <w:lang w:val="es-ES"/>
        </w:rPr>
        <w:t>,</w:t>
      </w:r>
      <w:r w:rsidR="00461B6D">
        <w:rPr>
          <w:rFonts w:ascii="Book Antiqua" w:hAnsi="Book Antiqua"/>
          <w:bCs/>
          <w:szCs w:val="24"/>
          <w:lang w:val="es-ES"/>
        </w:rPr>
        <w:t xml:space="preserve"> </w:t>
      </w:r>
      <w:r w:rsidR="005558E2">
        <w:rPr>
          <w:rFonts w:ascii="Book Antiqua" w:hAnsi="Book Antiqua"/>
          <w:bCs/>
          <w:szCs w:val="24"/>
          <w:lang w:val="es-ES"/>
        </w:rPr>
        <w:t xml:space="preserve">entiende meritorio realizar </w:t>
      </w:r>
      <w:r w:rsidR="00461B6D">
        <w:rPr>
          <w:rFonts w:ascii="Book Antiqua" w:hAnsi="Book Antiqua"/>
          <w:bCs/>
          <w:szCs w:val="24"/>
          <w:lang w:val="es-ES"/>
        </w:rPr>
        <w:t xml:space="preserve">esta investigación </w:t>
      </w:r>
      <w:r w:rsidR="005558E2" w:rsidRPr="005558E2">
        <w:rPr>
          <w:rFonts w:ascii="Book Antiqua" w:hAnsi="Book Antiqua"/>
          <w:bCs/>
          <w:szCs w:val="24"/>
          <w:lang w:val="es-PR"/>
        </w:rPr>
        <w:t>sobre la aplicación de las disposiciones contenidas en la Ley 22-2012</w:t>
      </w:r>
      <w:r w:rsidR="005558E2">
        <w:rPr>
          <w:rFonts w:ascii="Book Antiqua" w:hAnsi="Book Antiqua"/>
          <w:bCs/>
          <w:szCs w:val="24"/>
          <w:lang w:val="es-PR"/>
        </w:rPr>
        <w:t xml:space="preserve">, para </w:t>
      </w:r>
      <w:r w:rsidR="005558E2" w:rsidRPr="005558E2">
        <w:rPr>
          <w:rFonts w:ascii="Book Antiqua" w:hAnsi="Book Antiqua"/>
          <w:bCs/>
          <w:szCs w:val="24"/>
          <w:lang w:val="es-PR"/>
        </w:rPr>
        <w:t>examinar el cumplimiento de sus objetivos, la cantidad de empleos creados en Puerto Rico, la inversión realizadas por el Estado</w:t>
      </w:r>
      <w:r w:rsidR="005558E2">
        <w:rPr>
          <w:rFonts w:ascii="Book Antiqua" w:hAnsi="Book Antiqua"/>
          <w:bCs/>
          <w:szCs w:val="24"/>
          <w:lang w:val="es-PR"/>
        </w:rPr>
        <w:t xml:space="preserve"> y </w:t>
      </w:r>
      <w:r w:rsidR="005558E2" w:rsidRPr="005558E2">
        <w:rPr>
          <w:rFonts w:ascii="Book Antiqua" w:hAnsi="Book Antiqua"/>
          <w:bCs/>
          <w:szCs w:val="24"/>
          <w:lang w:val="es-PR"/>
        </w:rPr>
        <w:t>los beneficios producidos al fisco.</w:t>
      </w:r>
    </w:p>
    <w:p w:rsidR="00461B6D" w:rsidRPr="00461B6D" w:rsidRDefault="005558E2" w:rsidP="00461B6D">
      <w:pPr>
        <w:ind w:firstLine="720"/>
        <w:jc w:val="both"/>
        <w:rPr>
          <w:rFonts w:ascii="Book Antiqua" w:hAnsi="Book Antiqua"/>
          <w:bCs/>
          <w:szCs w:val="24"/>
          <w:lang w:val="es-ES"/>
        </w:rPr>
      </w:pPr>
      <w:r w:rsidRPr="005558E2">
        <w:rPr>
          <w:rFonts w:ascii="Book Antiqua" w:hAnsi="Book Antiqua"/>
          <w:bCs/>
          <w:szCs w:val="24"/>
          <w:lang w:val="es-PR"/>
        </w:rPr>
        <w:t xml:space="preserve">       </w:t>
      </w:r>
      <w:r w:rsidR="00461B6D">
        <w:rPr>
          <w:rFonts w:ascii="Book Antiqua" w:hAnsi="Book Antiqua"/>
          <w:bCs/>
          <w:szCs w:val="24"/>
          <w:lang w:val="es-ES"/>
        </w:rPr>
        <w:t xml:space="preserve"> </w:t>
      </w:r>
    </w:p>
    <w:p w:rsidR="003B0807" w:rsidRPr="002B2C03" w:rsidRDefault="003B0807" w:rsidP="003B0807">
      <w:pPr>
        <w:spacing w:line="480" w:lineRule="auto"/>
        <w:jc w:val="both"/>
        <w:rPr>
          <w:rFonts w:ascii="Book Antiqua" w:hAnsi="Book Antiqua"/>
          <w:i/>
          <w:lang w:val="es-PR"/>
        </w:rPr>
      </w:pPr>
      <w:r w:rsidRPr="002B2C03">
        <w:rPr>
          <w:rFonts w:ascii="Book Antiqua" w:hAnsi="Book Antiqua"/>
          <w:i/>
          <w:lang w:val="es-PR"/>
        </w:rPr>
        <w:t>RESUÉLVESE POR LA CÁMARA DE REPRESENTANTES DE PUERTO RICO:</w:t>
      </w:r>
    </w:p>
    <w:p w:rsidR="003B0807" w:rsidRPr="002B2C03" w:rsidRDefault="003B0807" w:rsidP="003B0807">
      <w:pPr>
        <w:spacing w:line="480" w:lineRule="auto"/>
        <w:jc w:val="both"/>
        <w:rPr>
          <w:rFonts w:ascii="Book Antiqua" w:hAnsi="Book Antiqua"/>
          <w:lang w:val="es-PR"/>
        </w:rPr>
        <w:sectPr w:rsidR="003B0807" w:rsidRPr="002B2C03" w:rsidSect="00E93F1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26"/>
        </w:sectPr>
      </w:pPr>
    </w:p>
    <w:p w:rsidR="00EF6487" w:rsidRPr="00EF6487" w:rsidRDefault="00010473" w:rsidP="00EF6487">
      <w:pPr>
        <w:spacing w:line="480" w:lineRule="auto"/>
        <w:ind w:left="360" w:firstLine="348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lastRenderedPageBreak/>
        <w:t xml:space="preserve">     </w:t>
      </w:r>
      <w:r w:rsidR="003B0807" w:rsidRPr="002B2C03">
        <w:rPr>
          <w:rFonts w:ascii="Book Antiqua" w:hAnsi="Book Antiqua"/>
          <w:lang w:val="es-PR"/>
        </w:rPr>
        <w:t>Sección 1.-</w:t>
      </w:r>
      <w:r w:rsidR="00EC2F5B" w:rsidRPr="00EC2F5B">
        <w:rPr>
          <w:rFonts w:ascii="Book Antiqua" w:hAnsi="Book Antiqua"/>
          <w:szCs w:val="24"/>
          <w:lang w:val="es-PR"/>
        </w:rPr>
        <w:t xml:space="preserve"> </w:t>
      </w:r>
      <w:r w:rsidR="005C73F4" w:rsidRPr="005C73F4">
        <w:rPr>
          <w:rFonts w:ascii="Book Antiqua" w:hAnsi="Book Antiqua"/>
          <w:szCs w:val="24"/>
          <w:lang w:val="es-PR"/>
        </w:rPr>
        <w:t xml:space="preserve">Para ordenar </w:t>
      </w:r>
      <w:r w:rsidR="005C73F4" w:rsidRPr="005C73F4">
        <w:rPr>
          <w:rFonts w:ascii="Book Antiqua" w:hAnsi="Book Antiqua"/>
          <w:szCs w:val="24"/>
          <w:lang w:val="es-ES"/>
        </w:rPr>
        <w:t xml:space="preserve">a la Comisión de Desarrollo Económico, Planificación, Telecomunicaciones, Alianzas Público Privadas y Energía </w:t>
      </w:r>
      <w:r w:rsidR="005C73F4" w:rsidRPr="005C73F4">
        <w:rPr>
          <w:rFonts w:ascii="Book Antiqua" w:hAnsi="Book Antiqua"/>
          <w:szCs w:val="24"/>
          <w:lang w:val="es-PR"/>
        </w:rPr>
        <w:t xml:space="preserve">de la Cámara de Representantes del Estado Libre Asociado de Puerto Rico realizar una investigación sobre la aplicación de las disposiciones contenidas en la Ley 22-2012, según enmendada, conocida como “Ley Para Incentivar el Traslado de Individuos Inversionistas a Puerto Rico”, con el propósito de examinar el cumplimiento de sus </w:t>
      </w:r>
      <w:r w:rsidR="005C73F4" w:rsidRPr="005C73F4">
        <w:rPr>
          <w:rFonts w:ascii="Book Antiqua" w:hAnsi="Book Antiqua"/>
          <w:szCs w:val="24"/>
          <w:lang w:val="es-PR"/>
        </w:rPr>
        <w:lastRenderedPageBreak/>
        <w:t>objetivos, la cantidad de empleos creados en Puerto Rico, la inversión realizadas por el Estado</w:t>
      </w:r>
      <w:r w:rsidR="005C73F4">
        <w:rPr>
          <w:rFonts w:ascii="Book Antiqua" w:hAnsi="Book Antiqua"/>
          <w:szCs w:val="24"/>
          <w:lang w:val="es-PR"/>
        </w:rPr>
        <w:t xml:space="preserve">, </w:t>
      </w:r>
      <w:r w:rsidR="005C73F4" w:rsidRPr="005C73F4">
        <w:rPr>
          <w:rFonts w:ascii="Book Antiqua" w:hAnsi="Book Antiqua"/>
          <w:szCs w:val="24"/>
          <w:lang w:val="es-PR"/>
        </w:rPr>
        <w:t xml:space="preserve">los </w:t>
      </w:r>
      <w:r w:rsidR="00CB49D0">
        <w:rPr>
          <w:rFonts w:ascii="Book Antiqua" w:hAnsi="Book Antiqua"/>
          <w:szCs w:val="24"/>
          <w:lang w:val="es-PR"/>
        </w:rPr>
        <w:t xml:space="preserve">beneficios producidos al fisco </w:t>
      </w:r>
      <w:r w:rsidR="005C73F4" w:rsidRPr="005C73F4">
        <w:rPr>
          <w:rFonts w:ascii="Book Antiqua" w:hAnsi="Book Antiqua"/>
          <w:szCs w:val="24"/>
          <w:lang w:val="es-PR"/>
        </w:rPr>
        <w:t xml:space="preserve">y </w:t>
      </w:r>
      <w:r w:rsidR="00CB49D0" w:rsidRPr="00CB49D0">
        <w:rPr>
          <w:rFonts w:ascii="Book Antiqua" w:hAnsi="Book Antiqua"/>
          <w:szCs w:val="24"/>
          <w:lang w:val="es-PR"/>
        </w:rPr>
        <w:t>determinar si esta Ley debe continuar vigente o derogarse</w:t>
      </w:r>
      <w:r w:rsidR="00CB49D0">
        <w:rPr>
          <w:rFonts w:ascii="Book Antiqua" w:hAnsi="Book Antiqua"/>
          <w:szCs w:val="24"/>
          <w:lang w:val="es-PR"/>
        </w:rPr>
        <w:t xml:space="preserve">, y </w:t>
      </w:r>
      <w:r w:rsidR="005C73F4" w:rsidRPr="005C73F4">
        <w:rPr>
          <w:rFonts w:ascii="Book Antiqua" w:hAnsi="Book Antiqua"/>
          <w:szCs w:val="24"/>
          <w:lang w:val="es-PR"/>
        </w:rPr>
        <w:t>para otros fines</w:t>
      </w:r>
      <w:r w:rsidR="00CB49D0">
        <w:rPr>
          <w:rFonts w:ascii="Book Antiqua" w:hAnsi="Book Antiqua"/>
          <w:szCs w:val="24"/>
          <w:lang w:val="es-PR"/>
        </w:rPr>
        <w:t>.</w:t>
      </w:r>
    </w:p>
    <w:p w:rsidR="00EC2F5B" w:rsidRPr="00EC2F5B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</w:t>
      </w:r>
      <w:r>
        <w:rPr>
          <w:rFonts w:ascii="Book Antiqua" w:hAnsi="Book Antiqua"/>
          <w:lang w:val="es-ES"/>
        </w:rPr>
        <w:tab/>
      </w:r>
      <w:r w:rsidR="00EC2F5B" w:rsidRPr="00EC2F5B">
        <w:rPr>
          <w:rFonts w:ascii="Book Antiqua" w:hAnsi="Book Antiqua"/>
          <w:lang w:val="es-ES"/>
        </w:rPr>
        <w:t>Sección 2.-</w:t>
      </w:r>
      <w:r w:rsidR="005C73F4">
        <w:rPr>
          <w:rFonts w:ascii="Book Antiqua" w:hAnsi="Book Antiqua"/>
          <w:lang w:val="es-ES"/>
        </w:rPr>
        <w:t xml:space="preserve"> </w:t>
      </w:r>
      <w:r w:rsidR="00EC2F5B" w:rsidRPr="00EC2F5B">
        <w:rPr>
          <w:rFonts w:ascii="Book Antiqua" w:hAnsi="Book Antiqua"/>
          <w:lang w:val="es-ES"/>
        </w:rPr>
        <w:t xml:space="preserve">La Comisión puede citar a cualquier persona natural o jurídica, incluyendo a cualquier dependencia gubernamental que haya tenido o tenga cualquier clase de relación o conexión en los asuntos </w:t>
      </w:r>
      <w:r w:rsidR="009F27F1">
        <w:rPr>
          <w:rFonts w:ascii="Book Antiqua" w:hAnsi="Book Antiqua"/>
          <w:lang w:val="es-ES"/>
        </w:rPr>
        <w:t>especificados en la Sección 1 de esta Resolución</w:t>
      </w:r>
      <w:r w:rsidR="00EC2F5B" w:rsidRPr="00EC2F5B">
        <w:rPr>
          <w:rFonts w:ascii="Book Antiqua" w:hAnsi="Book Antiqua"/>
          <w:lang w:val="es-ES"/>
        </w:rPr>
        <w:t>.</w:t>
      </w:r>
    </w:p>
    <w:p w:rsidR="00EC2F5B" w:rsidRPr="00EC2F5B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 xml:space="preserve">     </w:t>
      </w:r>
      <w:r>
        <w:rPr>
          <w:rFonts w:ascii="Book Antiqua" w:hAnsi="Book Antiqua"/>
          <w:lang w:val="es-ES"/>
        </w:rPr>
        <w:tab/>
      </w:r>
      <w:r w:rsidR="00EC2F5B" w:rsidRPr="00EC2F5B">
        <w:rPr>
          <w:rFonts w:ascii="Book Antiqua" w:hAnsi="Book Antiqua"/>
          <w:lang w:val="es-ES"/>
        </w:rPr>
        <w:t>Sección 3.-</w:t>
      </w:r>
      <w:r w:rsidR="005C73F4">
        <w:rPr>
          <w:rFonts w:ascii="Book Antiqua" w:hAnsi="Book Antiqua"/>
          <w:lang w:val="es-ES"/>
        </w:rPr>
        <w:t xml:space="preserve"> </w:t>
      </w:r>
      <w:r w:rsidR="00EC2F5B" w:rsidRPr="00EC2F5B">
        <w:rPr>
          <w:rFonts w:ascii="Book Antiqua" w:hAnsi="Book Antiqua"/>
          <w:lang w:val="es-ES"/>
        </w:rPr>
        <w:t xml:space="preserve">La Comisión podrá realizar todos los estudios, investigaciones, reuniones, citaciones, solicitudes de producción de documentos, solicitudes de información, requerimientos, e informes que entienda necesarios y podrá investigar cualquier asunto que entienda pertinente para cumplir con lo dispuesto en esta Resolución. </w:t>
      </w:r>
    </w:p>
    <w:p w:rsidR="00010473" w:rsidRDefault="00010473" w:rsidP="00010473">
      <w:pPr>
        <w:spacing w:line="480" w:lineRule="auto"/>
        <w:ind w:firstLine="360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 xml:space="preserve">     </w:t>
      </w:r>
      <w:r>
        <w:rPr>
          <w:rFonts w:ascii="Book Antiqua" w:hAnsi="Book Antiqua"/>
          <w:lang w:val="es-PR"/>
        </w:rPr>
        <w:tab/>
      </w:r>
      <w:r w:rsidR="009905C7">
        <w:rPr>
          <w:rFonts w:ascii="Book Antiqua" w:hAnsi="Book Antiqua"/>
          <w:lang w:val="es-PR"/>
        </w:rPr>
        <w:t>Sección 4</w:t>
      </w:r>
      <w:r w:rsidR="009F27F1" w:rsidRPr="009F27F1">
        <w:rPr>
          <w:rFonts w:ascii="Book Antiqua" w:hAnsi="Book Antiqua"/>
          <w:lang w:val="es-PR"/>
        </w:rPr>
        <w:t>.-</w:t>
      </w:r>
      <w:r w:rsidR="005C73F4">
        <w:rPr>
          <w:rFonts w:ascii="Book Antiqua" w:hAnsi="Book Antiqua"/>
          <w:lang w:val="es-PR"/>
        </w:rPr>
        <w:t xml:space="preserve"> </w:t>
      </w:r>
      <w:r w:rsidR="009F27F1" w:rsidRPr="009F27F1">
        <w:rPr>
          <w:rFonts w:ascii="Book Antiqua" w:hAnsi="Book Antiqua"/>
          <w:lang w:val="es-PR"/>
        </w:rPr>
        <w:t xml:space="preserve">La Comisión rendirá un informe con sus hallazgos, conclusiones, y   recomendaciones, </w:t>
      </w:r>
      <w:r w:rsidR="00A8702B">
        <w:rPr>
          <w:rFonts w:ascii="Book Antiqua" w:hAnsi="Book Antiqua"/>
          <w:lang w:val="es-ES_tradnl"/>
        </w:rPr>
        <w:t xml:space="preserve">dentro de </w:t>
      </w:r>
      <w:r w:rsidR="00F55806">
        <w:rPr>
          <w:rFonts w:ascii="Book Antiqua" w:hAnsi="Book Antiqua"/>
          <w:lang w:val="es-ES_tradnl"/>
        </w:rPr>
        <w:t xml:space="preserve"> ciento ochenta </w:t>
      </w:r>
      <w:r w:rsidR="00A8702B">
        <w:rPr>
          <w:rFonts w:ascii="Book Antiqua" w:hAnsi="Book Antiqua"/>
          <w:lang w:val="es-ES_tradnl"/>
        </w:rPr>
        <w:t>(18</w:t>
      </w:r>
      <w:r w:rsidR="009F27F1" w:rsidRPr="009F27F1">
        <w:rPr>
          <w:rFonts w:ascii="Book Antiqua" w:hAnsi="Book Antiqua"/>
          <w:lang w:val="es-ES_tradnl"/>
        </w:rPr>
        <w:t>0) días desde la aprobación de esta Resolución</w:t>
      </w:r>
      <w:r w:rsidR="009F27F1" w:rsidRPr="009F27F1">
        <w:rPr>
          <w:rFonts w:ascii="Book Antiqua" w:hAnsi="Book Antiqua"/>
          <w:lang w:val="es-PR"/>
        </w:rPr>
        <w:t>.</w:t>
      </w:r>
    </w:p>
    <w:p w:rsidR="009F27F1" w:rsidRPr="00010473" w:rsidRDefault="009905C7" w:rsidP="00010473">
      <w:pPr>
        <w:spacing w:line="480" w:lineRule="auto"/>
        <w:ind w:firstLine="708"/>
        <w:jc w:val="both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Sección 5</w:t>
      </w:r>
      <w:r w:rsidR="009F27F1" w:rsidRPr="009F27F1">
        <w:rPr>
          <w:rFonts w:ascii="Book Antiqua" w:hAnsi="Book Antiqua"/>
          <w:lang w:val="es-PR"/>
        </w:rPr>
        <w:t>.-</w:t>
      </w:r>
      <w:r w:rsidR="007F3F60">
        <w:rPr>
          <w:rFonts w:ascii="Book Antiqua" w:hAnsi="Book Antiqua"/>
          <w:lang w:val="es-PR"/>
        </w:rPr>
        <w:t xml:space="preserve"> </w:t>
      </w:r>
      <w:r w:rsidR="009F27F1" w:rsidRPr="009F27F1">
        <w:rPr>
          <w:rFonts w:ascii="Book Antiqua" w:hAnsi="Book Antiqua"/>
          <w:lang w:val="es-PR"/>
        </w:rPr>
        <w:t>Esta Resolución tendrá vigencia al momento de su aprobación.</w:t>
      </w:r>
    </w:p>
    <w:sectPr w:rsidR="009F27F1" w:rsidRPr="00010473" w:rsidSect="00EB4548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A1" w:rsidRDefault="00E475A1">
      <w:r>
        <w:separator/>
      </w:r>
    </w:p>
  </w:endnote>
  <w:endnote w:type="continuationSeparator" w:id="0">
    <w:p w:rsidR="00E475A1" w:rsidRDefault="00E4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A1" w:rsidRDefault="00E475A1">
      <w:r>
        <w:separator/>
      </w:r>
    </w:p>
  </w:footnote>
  <w:footnote w:type="continuationSeparator" w:id="0">
    <w:p w:rsidR="00E475A1" w:rsidRDefault="00E47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D1" w:rsidRDefault="003B0807" w:rsidP="008F5F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5D1" w:rsidRDefault="002F3B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D1" w:rsidRDefault="003B0807" w:rsidP="008F5F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B83">
      <w:rPr>
        <w:rStyle w:val="PageNumber"/>
        <w:noProof/>
      </w:rPr>
      <w:t>3</w:t>
    </w:r>
    <w:r>
      <w:rPr>
        <w:rStyle w:val="PageNumber"/>
      </w:rPr>
      <w:fldChar w:fldCharType="end"/>
    </w:r>
  </w:p>
  <w:p w:rsidR="006F35D1" w:rsidRDefault="002F3B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07"/>
    <w:rsid w:val="00010473"/>
    <w:rsid w:val="0001700E"/>
    <w:rsid w:val="00031AAC"/>
    <w:rsid w:val="0003649F"/>
    <w:rsid w:val="00050E5E"/>
    <w:rsid w:val="00131DEC"/>
    <w:rsid w:val="00172E7A"/>
    <w:rsid w:val="0017713B"/>
    <w:rsid w:val="001E0424"/>
    <w:rsid w:val="001F1E29"/>
    <w:rsid w:val="00220247"/>
    <w:rsid w:val="002568DB"/>
    <w:rsid w:val="00287093"/>
    <w:rsid w:val="002B3444"/>
    <w:rsid w:val="002F3B83"/>
    <w:rsid w:val="003618E3"/>
    <w:rsid w:val="00377925"/>
    <w:rsid w:val="003B0807"/>
    <w:rsid w:val="003B440B"/>
    <w:rsid w:val="003C0318"/>
    <w:rsid w:val="003D6881"/>
    <w:rsid w:val="0040473A"/>
    <w:rsid w:val="004542E4"/>
    <w:rsid w:val="00461B6D"/>
    <w:rsid w:val="004C34E5"/>
    <w:rsid w:val="004C7551"/>
    <w:rsid w:val="004E3059"/>
    <w:rsid w:val="004E6636"/>
    <w:rsid w:val="00512A40"/>
    <w:rsid w:val="005558E2"/>
    <w:rsid w:val="005A3DE8"/>
    <w:rsid w:val="005C73F4"/>
    <w:rsid w:val="00616170"/>
    <w:rsid w:val="00616E06"/>
    <w:rsid w:val="00622090"/>
    <w:rsid w:val="006B2409"/>
    <w:rsid w:val="006D4E68"/>
    <w:rsid w:val="00724E10"/>
    <w:rsid w:val="007267C5"/>
    <w:rsid w:val="0074188B"/>
    <w:rsid w:val="0074502D"/>
    <w:rsid w:val="0076624F"/>
    <w:rsid w:val="007D1B37"/>
    <w:rsid w:val="007F3F60"/>
    <w:rsid w:val="00890C97"/>
    <w:rsid w:val="008A0157"/>
    <w:rsid w:val="008C46AE"/>
    <w:rsid w:val="008E067A"/>
    <w:rsid w:val="008E7C2A"/>
    <w:rsid w:val="008F6115"/>
    <w:rsid w:val="00926A92"/>
    <w:rsid w:val="00941EFB"/>
    <w:rsid w:val="00967BAE"/>
    <w:rsid w:val="009905C7"/>
    <w:rsid w:val="009B2D38"/>
    <w:rsid w:val="009D50EE"/>
    <w:rsid w:val="009F27F1"/>
    <w:rsid w:val="00A13D19"/>
    <w:rsid w:val="00A1427B"/>
    <w:rsid w:val="00A16B1B"/>
    <w:rsid w:val="00A77470"/>
    <w:rsid w:val="00A8702B"/>
    <w:rsid w:val="00AA4B86"/>
    <w:rsid w:val="00B0371A"/>
    <w:rsid w:val="00B2431E"/>
    <w:rsid w:val="00B306C6"/>
    <w:rsid w:val="00B363C8"/>
    <w:rsid w:val="00B45259"/>
    <w:rsid w:val="00B462E4"/>
    <w:rsid w:val="00B572CD"/>
    <w:rsid w:val="00B60443"/>
    <w:rsid w:val="00B90F2A"/>
    <w:rsid w:val="00BB173D"/>
    <w:rsid w:val="00C02FEF"/>
    <w:rsid w:val="00C6188C"/>
    <w:rsid w:val="00C75F44"/>
    <w:rsid w:val="00C76E19"/>
    <w:rsid w:val="00C909EE"/>
    <w:rsid w:val="00CA6EA1"/>
    <w:rsid w:val="00CB49D0"/>
    <w:rsid w:val="00CE37F9"/>
    <w:rsid w:val="00CF79FD"/>
    <w:rsid w:val="00D05ADB"/>
    <w:rsid w:val="00D10E90"/>
    <w:rsid w:val="00D307B1"/>
    <w:rsid w:val="00D9190B"/>
    <w:rsid w:val="00DD1E89"/>
    <w:rsid w:val="00E475A1"/>
    <w:rsid w:val="00E52502"/>
    <w:rsid w:val="00E5390E"/>
    <w:rsid w:val="00E6217F"/>
    <w:rsid w:val="00E83F9B"/>
    <w:rsid w:val="00E90558"/>
    <w:rsid w:val="00EA15B0"/>
    <w:rsid w:val="00EB2307"/>
    <w:rsid w:val="00EC2F5B"/>
    <w:rsid w:val="00ED5F38"/>
    <w:rsid w:val="00ED67A2"/>
    <w:rsid w:val="00EF4954"/>
    <w:rsid w:val="00EF6487"/>
    <w:rsid w:val="00F11B69"/>
    <w:rsid w:val="00F55806"/>
    <w:rsid w:val="00F56E95"/>
    <w:rsid w:val="00FA1351"/>
    <w:rsid w:val="00FB6FF9"/>
    <w:rsid w:val="00FC0DCA"/>
    <w:rsid w:val="00FC15AF"/>
    <w:rsid w:val="00FE10F8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7F45D0-78CD-4134-B504-B990CF5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2"/>
    <w:basedOn w:val="Normal"/>
    <w:next w:val="Normal"/>
    <w:rsid w:val="003B0807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link w:val="HeaderChar"/>
    <w:rsid w:val="003B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0807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3B0807"/>
  </w:style>
  <w:style w:type="character" w:styleId="LineNumber">
    <w:name w:val="line number"/>
    <w:basedOn w:val="DefaultParagraphFont"/>
    <w:uiPriority w:val="99"/>
    <w:semiHidden/>
    <w:unhideWhenUsed/>
    <w:rsid w:val="003B0807"/>
  </w:style>
  <w:style w:type="paragraph" w:styleId="Footer">
    <w:name w:val="footer"/>
    <w:basedOn w:val="Normal"/>
    <w:link w:val="FooterChar"/>
    <w:uiPriority w:val="99"/>
    <w:unhideWhenUsed/>
    <w:rsid w:val="00D91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9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190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19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919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90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90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19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4055-75FE-4380-B8F7-BC2FC127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Gladys J. Burgos Torres</cp:lastModifiedBy>
  <cp:revision>4</cp:revision>
  <cp:lastPrinted>2021-02-22T18:44:00Z</cp:lastPrinted>
  <dcterms:created xsi:type="dcterms:W3CDTF">2021-02-24T13:16:00Z</dcterms:created>
  <dcterms:modified xsi:type="dcterms:W3CDTF">2021-03-02T13:09:00Z</dcterms:modified>
</cp:coreProperties>
</file>